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5C70B891" w:rsidR="0019780D" w:rsidRPr="005412D3" w:rsidRDefault="00742C2C" w:rsidP="00B36B70">
      <w:pPr>
        <w:pStyle w:val="Body"/>
        <w:jc w:val="both"/>
        <w:rPr>
          <w:rFonts w:cs="Times New Roman"/>
          <w:b/>
          <w:bCs/>
        </w:rPr>
      </w:pPr>
      <w:r w:rsidRPr="005412D3">
        <w:rPr>
          <w:rFonts w:cs="Times New Roman"/>
          <w:b/>
          <w:bCs/>
        </w:rPr>
        <w:t xml:space="preserve">Erkki </w:t>
      </w:r>
      <w:proofErr w:type="spellStart"/>
      <w:r w:rsidRPr="005412D3">
        <w:rPr>
          <w:rFonts w:cs="Times New Roman"/>
          <w:b/>
          <w:bCs/>
        </w:rPr>
        <w:t>Keldo</w:t>
      </w:r>
      <w:proofErr w:type="spellEnd"/>
      <w:r w:rsidR="0019780D" w:rsidRPr="005412D3">
        <w:rPr>
          <w:rFonts w:cs="Times New Roman"/>
          <w:b/>
          <w:bCs/>
        </w:rPr>
        <w:tab/>
      </w:r>
      <w:r w:rsidR="0019780D" w:rsidRPr="005412D3">
        <w:rPr>
          <w:rFonts w:cs="Times New Roman"/>
          <w:b/>
          <w:bCs/>
        </w:rPr>
        <w:tab/>
      </w:r>
      <w:r w:rsidR="0019780D" w:rsidRPr="005412D3">
        <w:rPr>
          <w:rFonts w:cs="Times New Roman"/>
          <w:b/>
          <w:bCs/>
        </w:rPr>
        <w:tab/>
      </w:r>
      <w:r w:rsidR="0019780D" w:rsidRPr="005412D3">
        <w:rPr>
          <w:rFonts w:cs="Times New Roman"/>
          <w:b/>
          <w:bCs/>
        </w:rPr>
        <w:tab/>
      </w:r>
    </w:p>
    <w:p w14:paraId="6CA565AF" w14:textId="7831E885" w:rsidR="0019780D" w:rsidRPr="005412D3" w:rsidRDefault="00742C2C" w:rsidP="00B36B70">
      <w:pPr>
        <w:pStyle w:val="Body"/>
        <w:jc w:val="both"/>
        <w:rPr>
          <w:rFonts w:cs="Times New Roman"/>
          <w:bCs/>
          <w:color w:val="auto"/>
        </w:rPr>
      </w:pPr>
      <w:r w:rsidRPr="005412D3">
        <w:rPr>
          <w:rFonts w:cs="Times New Roman"/>
        </w:rPr>
        <w:t>Majandus- ja tööstusminister</w:t>
      </w:r>
      <w:r w:rsidR="0019780D" w:rsidRPr="005412D3">
        <w:rPr>
          <w:rFonts w:cs="Times New Roman"/>
          <w:b/>
          <w:bCs/>
        </w:rPr>
        <w:t xml:space="preserve">                                                      </w:t>
      </w:r>
      <w:r w:rsidR="0019780D" w:rsidRPr="005412D3">
        <w:rPr>
          <w:rFonts w:cs="Times New Roman"/>
          <w:bCs/>
          <w:color w:val="auto"/>
        </w:rPr>
        <w:t xml:space="preserve">Teie </w:t>
      </w:r>
      <w:r w:rsidR="00AD60B0" w:rsidRPr="005412D3">
        <w:rPr>
          <w:rFonts w:cs="Times New Roman"/>
          <w:bCs/>
          <w:color w:val="auto"/>
        </w:rPr>
        <w:t>31.12</w:t>
      </w:r>
      <w:r w:rsidR="0044481E" w:rsidRPr="005412D3">
        <w:rPr>
          <w:rFonts w:cs="Times New Roman"/>
          <w:bCs/>
          <w:color w:val="auto"/>
        </w:rPr>
        <w:t>.2025</w:t>
      </w:r>
      <w:r w:rsidR="00FA1AC9" w:rsidRPr="005412D3">
        <w:rPr>
          <w:rFonts w:cs="Times New Roman"/>
          <w:bCs/>
          <w:color w:val="auto"/>
        </w:rPr>
        <w:t xml:space="preserve"> nr </w:t>
      </w:r>
      <w:r w:rsidR="0067263E" w:rsidRPr="005412D3">
        <w:rPr>
          <w:rFonts w:cs="Times New Roman"/>
          <w:bCs/>
          <w:color w:val="auto"/>
        </w:rPr>
        <w:t>2</w:t>
      </w:r>
      <w:r w:rsidR="0042363E" w:rsidRPr="005412D3">
        <w:rPr>
          <w:rFonts w:cs="Times New Roman"/>
          <w:bCs/>
          <w:color w:val="auto"/>
        </w:rPr>
        <w:t>-1/</w:t>
      </w:r>
      <w:r w:rsidR="0067263E" w:rsidRPr="005412D3">
        <w:rPr>
          <w:rFonts w:cs="Times New Roman"/>
          <w:bCs/>
          <w:color w:val="auto"/>
        </w:rPr>
        <w:t>4368</w:t>
      </w:r>
      <w:r w:rsidR="0042363E" w:rsidRPr="005412D3">
        <w:rPr>
          <w:rFonts w:cs="Times New Roman"/>
          <w:bCs/>
          <w:color w:val="auto"/>
        </w:rPr>
        <w:t>-1</w:t>
      </w:r>
      <w:r w:rsidR="0019780D" w:rsidRPr="005412D3">
        <w:rPr>
          <w:rFonts w:cs="Times New Roman"/>
          <w:bCs/>
          <w:color w:val="auto"/>
        </w:rPr>
        <w:t xml:space="preserve"> </w:t>
      </w:r>
    </w:p>
    <w:p w14:paraId="203AD6B3" w14:textId="5BB3EDE9" w:rsidR="0019780D" w:rsidRPr="005412D3" w:rsidRDefault="00742C2C" w:rsidP="00B36B70">
      <w:pPr>
        <w:pStyle w:val="Body"/>
        <w:jc w:val="both"/>
        <w:rPr>
          <w:rFonts w:eastAsia="Times New Roman" w:cs="Times New Roman"/>
          <w:bCs/>
        </w:rPr>
      </w:pPr>
      <w:r w:rsidRPr="005412D3">
        <w:rPr>
          <w:rFonts w:cs="Times New Roman"/>
        </w:rPr>
        <w:t xml:space="preserve">Majandus- ja </w:t>
      </w:r>
      <w:r w:rsidR="00906396" w:rsidRPr="005412D3">
        <w:rPr>
          <w:rFonts w:cs="Times New Roman"/>
        </w:rPr>
        <w:t>K</w:t>
      </w:r>
      <w:r w:rsidRPr="005412D3">
        <w:rPr>
          <w:rFonts w:cs="Times New Roman"/>
        </w:rPr>
        <w:t>omm</w:t>
      </w:r>
      <w:r w:rsidR="00906396" w:rsidRPr="005412D3">
        <w:rPr>
          <w:rFonts w:cs="Times New Roman"/>
        </w:rPr>
        <w:t>unikatsiooniministeerium</w:t>
      </w:r>
      <w:r w:rsidR="0019780D" w:rsidRPr="005412D3">
        <w:rPr>
          <w:rFonts w:cs="Times New Roman"/>
        </w:rPr>
        <w:t xml:space="preserve">                           </w:t>
      </w:r>
      <w:r w:rsidR="0019780D" w:rsidRPr="005412D3">
        <w:rPr>
          <w:rFonts w:eastAsia="Times New Roman" w:cs="Times New Roman"/>
          <w:bCs/>
        </w:rPr>
        <w:t xml:space="preserve">Meie </w:t>
      </w:r>
      <w:r w:rsidR="0067263E" w:rsidRPr="005412D3">
        <w:rPr>
          <w:rFonts w:eastAsia="Times New Roman" w:cs="Times New Roman"/>
          <w:bCs/>
        </w:rPr>
        <w:t>02.02</w:t>
      </w:r>
      <w:r w:rsidR="00EB54C4" w:rsidRPr="005412D3">
        <w:rPr>
          <w:rFonts w:eastAsia="Times New Roman" w:cs="Times New Roman"/>
          <w:bCs/>
        </w:rPr>
        <w:t>.2026</w:t>
      </w:r>
      <w:r w:rsidR="0019780D" w:rsidRPr="005412D3">
        <w:rPr>
          <w:rFonts w:eastAsia="Times New Roman" w:cs="Times New Roman"/>
          <w:bCs/>
        </w:rPr>
        <w:t xml:space="preserve"> nr 1-8/</w:t>
      </w:r>
      <w:r w:rsidR="00B0396F" w:rsidRPr="005412D3">
        <w:rPr>
          <w:rFonts w:eastAsia="Times New Roman" w:cs="Times New Roman"/>
          <w:bCs/>
        </w:rPr>
        <w:t>2</w:t>
      </w:r>
      <w:r w:rsidR="00997AB3" w:rsidRPr="005412D3">
        <w:rPr>
          <w:rFonts w:eastAsia="Times New Roman" w:cs="Times New Roman"/>
          <w:bCs/>
        </w:rPr>
        <w:t>6</w:t>
      </w:r>
      <w:r w:rsidR="00B0396F" w:rsidRPr="005412D3">
        <w:rPr>
          <w:rFonts w:eastAsia="Times New Roman" w:cs="Times New Roman"/>
          <w:bCs/>
        </w:rPr>
        <w:t>/</w:t>
      </w:r>
      <w:r w:rsidR="00657AB9" w:rsidRPr="005412D3">
        <w:rPr>
          <w:rFonts w:eastAsia="Times New Roman" w:cs="Times New Roman"/>
          <w:bCs/>
        </w:rPr>
        <w:t>3-1</w:t>
      </w:r>
    </w:p>
    <w:p w14:paraId="6E184BEF" w14:textId="375FE04E" w:rsidR="00995853" w:rsidRPr="005412D3" w:rsidRDefault="00995853" w:rsidP="00B36B70">
      <w:pPr>
        <w:pStyle w:val="Body"/>
        <w:jc w:val="both"/>
        <w:rPr>
          <w:rFonts w:eastAsia="Times New Roman" w:cs="Times New Roman"/>
          <w:bCs/>
        </w:rPr>
      </w:pPr>
      <w:r w:rsidRPr="005412D3">
        <w:rPr>
          <w:rFonts w:eastAsia="Times New Roman" w:cs="Times New Roman"/>
          <w:bCs/>
        </w:rPr>
        <w:t>info@</w:t>
      </w:r>
      <w:r w:rsidR="00F47493" w:rsidRPr="005412D3">
        <w:rPr>
          <w:rFonts w:eastAsia="Times New Roman" w:cs="Times New Roman"/>
          <w:bCs/>
        </w:rPr>
        <w:t>mkm</w:t>
      </w:r>
      <w:r w:rsidRPr="005412D3">
        <w:rPr>
          <w:rFonts w:eastAsia="Times New Roman" w:cs="Times New Roman"/>
          <w:bCs/>
        </w:rPr>
        <w:t>.ee</w:t>
      </w:r>
    </w:p>
    <w:p w14:paraId="3F30D34B" w14:textId="31FD0394" w:rsidR="0019780D" w:rsidRPr="005412D3" w:rsidRDefault="00EA7A37" w:rsidP="00B36B70">
      <w:pPr>
        <w:pStyle w:val="Body"/>
        <w:jc w:val="both"/>
        <w:rPr>
          <w:rFonts w:cs="Times New Roman"/>
        </w:rPr>
      </w:pPr>
      <w:r w:rsidRPr="005412D3">
        <w:rPr>
          <w:rFonts w:cs="Times New Roman"/>
        </w:rPr>
        <w:t>Liis.Tonismaa@mkm.ee</w:t>
      </w:r>
    </w:p>
    <w:p w14:paraId="4F26BD09" w14:textId="77777777" w:rsidR="0019780D" w:rsidRPr="005412D3" w:rsidRDefault="0019780D" w:rsidP="00B36B70">
      <w:pPr>
        <w:widowControl/>
        <w:suppressAutoHyphens w:val="0"/>
        <w:jc w:val="both"/>
        <w:rPr>
          <w:color w:val="auto"/>
          <w:szCs w:val="24"/>
        </w:rPr>
      </w:pPr>
    </w:p>
    <w:p w14:paraId="1C2EE57A" w14:textId="77777777" w:rsidR="0019780D" w:rsidRPr="005412D3" w:rsidRDefault="0019780D" w:rsidP="00B36B70">
      <w:pPr>
        <w:widowControl/>
        <w:suppressAutoHyphens w:val="0"/>
        <w:jc w:val="both"/>
        <w:rPr>
          <w:szCs w:val="24"/>
        </w:rPr>
      </w:pPr>
      <w:r w:rsidRPr="005412D3">
        <w:rPr>
          <w:szCs w:val="24"/>
        </w:rPr>
        <w:tab/>
      </w:r>
      <w:r w:rsidRPr="005412D3">
        <w:rPr>
          <w:szCs w:val="24"/>
        </w:rPr>
        <w:tab/>
      </w:r>
      <w:r w:rsidRPr="005412D3">
        <w:rPr>
          <w:szCs w:val="24"/>
        </w:rPr>
        <w:tab/>
      </w:r>
      <w:r w:rsidRPr="005412D3">
        <w:rPr>
          <w:szCs w:val="24"/>
        </w:rPr>
        <w:tab/>
      </w:r>
      <w:r w:rsidRPr="005412D3">
        <w:rPr>
          <w:szCs w:val="24"/>
        </w:rPr>
        <w:tab/>
      </w:r>
      <w:r w:rsidRPr="005412D3">
        <w:rPr>
          <w:szCs w:val="24"/>
        </w:rPr>
        <w:tab/>
      </w:r>
      <w:r w:rsidRPr="005412D3">
        <w:rPr>
          <w:szCs w:val="24"/>
        </w:rPr>
        <w:tab/>
      </w:r>
      <w:r w:rsidRPr="005412D3">
        <w:rPr>
          <w:szCs w:val="24"/>
        </w:rPr>
        <w:tab/>
      </w:r>
    </w:p>
    <w:p w14:paraId="4E263FAD" w14:textId="4CA87819" w:rsidR="0019780D" w:rsidRPr="005412D3" w:rsidRDefault="00EA7A37" w:rsidP="00B36B70">
      <w:pPr>
        <w:tabs>
          <w:tab w:val="left" w:pos="0"/>
        </w:tabs>
        <w:jc w:val="both"/>
        <w:rPr>
          <w:b/>
          <w:bCs/>
          <w:szCs w:val="24"/>
        </w:rPr>
      </w:pPr>
      <w:r w:rsidRPr="005412D3">
        <w:rPr>
          <w:b/>
          <w:bCs/>
          <w:szCs w:val="24"/>
        </w:rPr>
        <w:t>Töövaidluse lahendamise seaduse väljatöötamiskavatsus</w:t>
      </w:r>
    </w:p>
    <w:p w14:paraId="2C65BF31" w14:textId="77777777" w:rsidR="0019780D" w:rsidRPr="005412D3" w:rsidRDefault="0019780D" w:rsidP="00B36B70">
      <w:pPr>
        <w:tabs>
          <w:tab w:val="left" w:pos="0"/>
        </w:tabs>
        <w:jc w:val="both"/>
        <w:rPr>
          <w:b/>
          <w:bCs/>
          <w:szCs w:val="24"/>
        </w:rPr>
      </w:pPr>
    </w:p>
    <w:p w14:paraId="5664917E" w14:textId="77777777" w:rsidR="0019780D" w:rsidRPr="005412D3" w:rsidRDefault="0019780D" w:rsidP="00B36B70">
      <w:pPr>
        <w:tabs>
          <w:tab w:val="left" w:pos="0"/>
        </w:tabs>
        <w:jc w:val="both"/>
        <w:rPr>
          <w:szCs w:val="24"/>
        </w:rPr>
      </w:pPr>
    </w:p>
    <w:p w14:paraId="6B2E6EAE" w14:textId="171042EA" w:rsidR="0019780D" w:rsidRPr="005412D3" w:rsidRDefault="0019780D" w:rsidP="00B36B70">
      <w:pPr>
        <w:tabs>
          <w:tab w:val="left" w:pos="0"/>
        </w:tabs>
        <w:jc w:val="both"/>
        <w:rPr>
          <w:szCs w:val="24"/>
        </w:rPr>
      </w:pPr>
      <w:r w:rsidRPr="005412D3">
        <w:rPr>
          <w:szCs w:val="24"/>
        </w:rPr>
        <w:t xml:space="preserve">Lugupeetud </w:t>
      </w:r>
      <w:r w:rsidR="00EA7A37" w:rsidRPr="005412D3">
        <w:rPr>
          <w:szCs w:val="24"/>
        </w:rPr>
        <w:t xml:space="preserve">Erkki </w:t>
      </w:r>
      <w:proofErr w:type="spellStart"/>
      <w:r w:rsidR="00EA7A37" w:rsidRPr="005412D3">
        <w:rPr>
          <w:szCs w:val="24"/>
        </w:rPr>
        <w:t>Keldo</w:t>
      </w:r>
      <w:proofErr w:type="spellEnd"/>
    </w:p>
    <w:p w14:paraId="6F58F63B" w14:textId="77777777" w:rsidR="0019780D" w:rsidRPr="005412D3" w:rsidRDefault="0019780D" w:rsidP="00B36B70">
      <w:pPr>
        <w:tabs>
          <w:tab w:val="left" w:pos="0"/>
        </w:tabs>
        <w:jc w:val="both"/>
        <w:rPr>
          <w:szCs w:val="24"/>
        </w:rPr>
      </w:pPr>
    </w:p>
    <w:p w14:paraId="394B7A04" w14:textId="29FF34E3" w:rsidR="00FD1755" w:rsidRPr="005412D3" w:rsidRDefault="0019780D" w:rsidP="00B36B70">
      <w:pPr>
        <w:tabs>
          <w:tab w:val="left" w:pos="0"/>
        </w:tabs>
        <w:jc w:val="both"/>
        <w:rPr>
          <w:szCs w:val="24"/>
        </w:rPr>
      </w:pPr>
      <w:r w:rsidRPr="005412D3">
        <w:rPr>
          <w:szCs w:val="24"/>
        </w:rPr>
        <w:t xml:space="preserve">Täname, et olete advokatuurile saatnud arvamuse </w:t>
      </w:r>
      <w:r w:rsidR="00EA7A37" w:rsidRPr="005412D3">
        <w:rPr>
          <w:szCs w:val="24"/>
        </w:rPr>
        <w:t xml:space="preserve">avaldamiseks töövaidluse lahendamise seaduse väljatöötamiskavatsuse. Esitame teile </w:t>
      </w:r>
      <w:r w:rsidR="00C376C5" w:rsidRPr="005412D3">
        <w:rPr>
          <w:szCs w:val="24"/>
        </w:rPr>
        <w:t xml:space="preserve">selles osas advokatuuri </w:t>
      </w:r>
      <w:r w:rsidR="000C01AA" w:rsidRPr="005412D3">
        <w:rPr>
          <w:szCs w:val="24"/>
        </w:rPr>
        <w:t xml:space="preserve">tööõiguse komisjoni ja </w:t>
      </w:r>
      <w:r w:rsidR="00C376C5" w:rsidRPr="005412D3">
        <w:rPr>
          <w:szCs w:val="24"/>
        </w:rPr>
        <w:t xml:space="preserve">menetlusõiguse komisjoni seisukohad. </w:t>
      </w:r>
    </w:p>
    <w:p w14:paraId="15770B42" w14:textId="77777777" w:rsidR="00386933" w:rsidRPr="005412D3" w:rsidRDefault="00386933" w:rsidP="00B36B70">
      <w:pPr>
        <w:tabs>
          <w:tab w:val="left" w:pos="0"/>
        </w:tabs>
        <w:jc w:val="both"/>
        <w:rPr>
          <w:szCs w:val="24"/>
        </w:rPr>
      </w:pPr>
    </w:p>
    <w:p w14:paraId="4039A777" w14:textId="058FD173" w:rsidR="00386933" w:rsidRPr="00104389" w:rsidRDefault="00386933" w:rsidP="00B36B70">
      <w:pPr>
        <w:tabs>
          <w:tab w:val="left" w:pos="0"/>
        </w:tabs>
        <w:jc w:val="both"/>
        <w:rPr>
          <w:b/>
          <w:bCs/>
          <w:szCs w:val="24"/>
        </w:rPr>
      </w:pPr>
      <w:r w:rsidRPr="00104389">
        <w:rPr>
          <w:b/>
          <w:bCs/>
          <w:szCs w:val="24"/>
        </w:rPr>
        <w:t xml:space="preserve">I </w:t>
      </w:r>
      <w:r w:rsidR="000C01AA" w:rsidRPr="00104389">
        <w:rPr>
          <w:b/>
          <w:bCs/>
          <w:szCs w:val="24"/>
        </w:rPr>
        <w:t>Tööõiguse komisjoni seisukohad</w:t>
      </w:r>
    </w:p>
    <w:p w14:paraId="08741A50" w14:textId="77777777" w:rsidR="008B5F64" w:rsidRPr="005412D3" w:rsidRDefault="008B5F64" w:rsidP="00B36B70">
      <w:pPr>
        <w:tabs>
          <w:tab w:val="left" w:pos="0"/>
        </w:tabs>
        <w:jc w:val="both"/>
        <w:rPr>
          <w:szCs w:val="24"/>
        </w:rPr>
      </w:pPr>
    </w:p>
    <w:p w14:paraId="3A1E7442" w14:textId="2692DA3D" w:rsidR="00BD1404" w:rsidRPr="00104389" w:rsidRDefault="00BD1404" w:rsidP="00B36B70">
      <w:pPr>
        <w:pStyle w:val="ListParagraph"/>
        <w:numPr>
          <w:ilvl w:val="0"/>
          <w:numId w:val="34"/>
        </w:numPr>
        <w:tabs>
          <w:tab w:val="left" w:pos="0"/>
        </w:tabs>
        <w:jc w:val="both"/>
        <w:rPr>
          <w:b/>
          <w:bCs/>
          <w:szCs w:val="24"/>
        </w:rPr>
      </w:pPr>
      <w:r w:rsidRPr="00104389">
        <w:rPr>
          <w:b/>
          <w:bCs/>
          <w:szCs w:val="24"/>
        </w:rPr>
        <w:t>Töövaidluskomisjoni (TVK) juhatajate hindamise, värbamise, sisseelamise ja TVK töö kvaliteedi tagamisest</w:t>
      </w:r>
    </w:p>
    <w:p w14:paraId="7DB34D74" w14:textId="77777777" w:rsidR="00BD1404" w:rsidRDefault="00BD1404" w:rsidP="00B36B70">
      <w:pPr>
        <w:tabs>
          <w:tab w:val="left" w:pos="0"/>
        </w:tabs>
        <w:jc w:val="both"/>
        <w:rPr>
          <w:szCs w:val="24"/>
        </w:rPr>
      </w:pPr>
    </w:p>
    <w:p w14:paraId="6B9DCBB9" w14:textId="7C0D9262" w:rsidR="008D7497" w:rsidRPr="005412D3" w:rsidRDefault="008D7497" w:rsidP="00B36B70">
      <w:pPr>
        <w:tabs>
          <w:tab w:val="left" w:pos="0"/>
        </w:tabs>
        <w:jc w:val="both"/>
        <w:rPr>
          <w:szCs w:val="24"/>
        </w:rPr>
      </w:pPr>
      <w:r w:rsidRPr="005412D3">
        <w:rPr>
          <w:szCs w:val="24"/>
        </w:rPr>
        <w:t xml:space="preserve">Komisjoni hinnangul on mõistlik, et </w:t>
      </w:r>
      <w:r w:rsidR="00364500">
        <w:rPr>
          <w:szCs w:val="24"/>
        </w:rPr>
        <w:t xml:space="preserve">töövaidluskomisjoni </w:t>
      </w:r>
      <w:r w:rsidR="003324D9">
        <w:rPr>
          <w:szCs w:val="24"/>
        </w:rPr>
        <w:t>(</w:t>
      </w:r>
      <w:r w:rsidRPr="005412D3">
        <w:rPr>
          <w:szCs w:val="24"/>
        </w:rPr>
        <w:t>TVK</w:t>
      </w:r>
      <w:r w:rsidR="003324D9">
        <w:rPr>
          <w:szCs w:val="24"/>
        </w:rPr>
        <w:t>)</w:t>
      </w:r>
      <w:r w:rsidRPr="005412D3">
        <w:rPr>
          <w:szCs w:val="24"/>
        </w:rPr>
        <w:t xml:space="preserve"> juhatajatel on n-ö sisseelamise periood ja sellel</w:t>
      </w:r>
      <w:r w:rsidR="005412D3" w:rsidRPr="005412D3">
        <w:rPr>
          <w:szCs w:val="24"/>
        </w:rPr>
        <w:t xml:space="preserve"> </w:t>
      </w:r>
      <w:r w:rsidRPr="005412D3">
        <w:rPr>
          <w:szCs w:val="24"/>
        </w:rPr>
        <w:t xml:space="preserve">ajal ka mentor, kes neid vajadusel juhendab. See, et TVK juhatajatele kohaldub </w:t>
      </w:r>
      <w:r w:rsidR="00EF23F3">
        <w:rPr>
          <w:szCs w:val="24"/>
        </w:rPr>
        <w:t>esmalt</w:t>
      </w:r>
      <w:r w:rsidRPr="005412D3">
        <w:rPr>
          <w:szCs w:val="24"/>
        </w:rPr>
        <w:t xml:space="preserve"> n-ö</w:t>
      </w:r>
      <w:r w:rsidR="005412D3" w:rsidRPr="005412D3">
        <w:rPr>
          <w:szCs w:val="24"/>
        </w:rPr>
        <w:t xml:space="preserve"> </w:t>
      </w:r>
      <w:r w:rsidRPr="005412D3">
        <w:rPr>
          <w:szCs w:val="24"/>
        </w:rPr>
        <w:t>3-aastane katseaeg, mis päädib TVK juhatajate hindamisega, on samuti</w:t>
      </w:r>
      <w:r w:rsidR="005412D3" w:rsidRPr="005412D3">
        <w:rPr>
          <w:szCs w:val="24"/>
        </w:rPr>
        <w:t xml:space="preserve"> </w:t>
      </w:r>
      <w:r w:rsidRPr="005412D3">
        <w:rPr>
          <w:szCs w:val="24"/>
        </w:rPr>
        <w:t>mõistlik. Küll aga tuleks läbi mõelda, kes TVK juhatajaid hindab.</w:t>
      </w:r>
    </w:p>
    <w:p w14:paraId="67959204" w14:textId="77777777" w:rsidR="005412D3" w:rsidRPr="005412D3" w:rsidRDefault="005412D3" w:rsidP="00B36B70">
      <w:pPr>
        <w:tabs>
          <w:tab w:val="left" w:pos="0"/>
        </w:tabs>
        <w:jc w:val="both"/>
        <w:rPr>
          <w:szCs w:val="24"/>
        </w:rPr>
      </w:pPr>
    </w:p>
    <w:p w14:paraId="1F208AB6" w14:textId="02B1B9B5" w:rsidR="008D7497" w:rsidRDefault="008D7497" w:rsidP="00B36B70">
      <w:pPr>
        <w:tabs>
          <w:tab w:val="left" w:pos="0"/>
        </w:tabs>
        <w:jc w:val="both"/>
        <w:rPr>
          <w:szCs w:val="24"/>
        </w:rPr>
      </w:pPr>
      <w:r w:rsidRPr="005412D3">
        <w:rPr>
          <w:szCs w:val="24"/>
        </w:rPr>
        <w:t>Ühe variandina võiks tulla kõne alla TVK juhatajate sobivuse hindamine sarnaselt</w:t>
      </w:r>
      <w:r w:rsidR="005412D3" w:rsidRPr="005412D3">
        <w:rPr>
          <w:szCs w:val="24"/>
        </w:rPr>
        <w:t xml:space="preserve"> </w:t>
      </w:r>
      <w:r w:rsidRPr="005412D3">
        <w:rPr>
          <w:szCs w:val="24"/>
        </w:rPr>
        <w:t>kohtunikega (</w:t>
      </w:r>
      <w:r w:rsidR="00016C21">
        <w:rPr>
          <w:szCs w:val="24"/>
        </w:rPr>
        <w:t xml:space="preserve">vt KS § </w:t>
      </w:r>
      <w:r w:rsidR="00FB0045">
        <w:rPr>
          <w:szCs w:val="24"/>
        </w:rPr>
        <w:t xml:space="preserve">73 lg 2, </w:t>
      </w:r>
      <w:r w:rsidRPr="005412D3">
        <w:rPr>
          <w:szCs w:val="24"/>
        </w:rPr>
        <w:t>sh tagasiside kogumine teistelt osapooltelt). Kindlasti peaks olema sätestatud väga konkreetsed kvaliteedikriteeriumid, mille</w:t>
      </w:r>
      <w:r w:rsidR="005412D3">
        <w:rPr>
          <w:szCs w:val="24"/>
        </w:rPr>
        <w:t xml:space="preserve"> </w:t>
      </w:r>
      <w:r w:rsidRPr="005412D3">
        <w:rPr>
          <w:szCs w:val="24"/>
        </w:rPr>
        <w:t>mittetäitmisel oleks automaatselt (st ilma täiendava hindamiseta) võimalik TVK juhataja</w:t>
      </w:r>
      <w:r w:rsidR="00975EB7">
        <w:rPr>
          <w:szCs w:val="24"/>
        </w:rPr>
        <w:t xml:space="preserve"> </w:t>
      </w:r>
      <w:r w:rsidRPr="005412D3">
        <w:rPr>
          <w:szCs w:val="24"/>
        </w:rPr>
        <w:t>ametist vabastada. Sel juhul peaks TVK juhataja ametist vabastamine jääma valdkonna</w:t>
      </w:r>
      <w:r w:rsidR="00975EB7">
        <w:rPr>
          <w:szCs w:val="24"/>
        </w:rPr>
        <w:t xml:space="preserve"> </w:t>
      </w:r>
      <w:r w:rsidRPr="005412D3">
        <w:rPr>
          <w:szCs w:val="24"/>
        </w:rPr>
        <w:t>eest vastutavale ministrile (nii, nagu see on praegu).</w:t>
      </w:r>
      <w:r w:rsidR="00975EB7">
        <w:rPr>
          <w:szCs w:val="24"/>
        </w:rPr>
        <w:t xml:space="preserve"> </w:t>
      </w:r>
      <w:r w:rsidRPr="005412D3">
        <w:rPr>
          <w:szCs w:val="24"/>
        </w:rPr>
        <w:t>Juhul, kui hindamist mitte ära kaotada, võiks kaaluda, kas hindamine võiks toimuda</w:t>
      </w:r>
      <w:r w:rsidR="00975EB7">
        <w:rPr>
          <w:szCs w:val="24"/>
        </w:rPr>
        <w:t xml:space="preserve"> </w:t>
      </w:r>
      <w:r w:rsidRPr="005412D3">
        <w:rPr>
          <w:szCs w:val="24"/>
        </w:rPr>
        <w:t>näiteks iga 5 aasta tagant (praeguse iga 3 aasta asemel).</w:t>
      </w:r>
    </w:p>
    <w:p w14:paraId="56D6D571" w14:textId="77777777" w:rsidR="00975EB7" w:rsidRPr="005412D3" w:rsidRDefault="00975EB7" w:rsidP="00B36B70">
      <w:pPr>
        <w:tabs>
          <w:tab w:val="left" w:pos="0"/>
        </w:tabs>
        <w:jc w:val="both"/>
        <w:rPr>
          <w:szCs w:val="24"/>
        </w:rPr>
      </w:pPr>
    </w:p>
    <w:p w14:paraId="03C3D336" w14:textId="54B74260" w:rsidR="008D7497" w:rsidRDefault="00975EB7" w:rsidP="00B36B70">
      <w:pPr>
        <w:tabs>
          <w:tab w:val="left" w:pos="0"/>
        </w:tabs>
        <w:jc w:val="both"/>
        <w:rPr>
          <w:szCs w:val="24"/>
        </w:rPr>
      </w:pPr>
      <w:r>
        <w:rPr>
          <w:szCs w:val="24"/>
        </w:rPr>
        <w:t>I</w:t>
      </w:r>
      <w:r w:rsidR="008D7497" w:rsidRPr="005412D3">
        <w:rPr>
          <w:szCs w:val="24"/>
        </w:rPr>
        <w:t>gal juhul (st sõltumata sellest, kas TVK juhatajaid</w:t>
      </w:r>
      <w:r>
        <w:rPr>
          <w:szCs w:val="24"/>
        </w:rPr>
        <w:t xml:space="preserve"> </w:t>
      </w:r>
      <w:r w:rsidR="008D7497" w:rsidRPr="005412D3">
        <w:rPr>
          <w:szCs w:val="24"/>
        </w:rPr>
        <w:t xml:space="preserve">hinnatakse üksnes sisseelamisperioodi lõpus või ka hiljem) </w:t>
      </w:r>
      <w:r>
        <w:rPr>
          <w:szCs w:val="24"/>
        </w:rPr>
        <w:t xml:space="preserve">peaks </w:t>
      </w:r>
      <w:r w:rsidR="008D7497" w:rsidRPr="005412D3">
        <w:rPr>
          <w:szCs w:val="24"/>
        </w:rPr>
        <w:t>kindlasti säilima TVK</w:t>
      </w:r>
      <w:r>
        <w:rPr>
          <w:szCs w:val="24"/>
        </w:rPr>
        <w:t xml:space="preserve"> </w:t>
      </w:r>
      <w:r w:rsidR="008D7497" w:rsidRPr="005412D3">
        <w:rPr>
          <w:szCs w:val="24"/>
        </w:rPr>
        <w:t>juhatajate täiendkoolituse kohustus. Koolituskohustus peaks olema iga-aastaselt, mitte</w:t>
      </w:r>
      <w:r>
        <w:rPr>
          <w:szCs w:val="24"/>
        </w:rPr>
        <w:t xml:space="preserve"> </w:t>
      </w:r>
      <w:r w:rsidR="008D7497" w:rsidRPr="005412D3">
        <w:rPr>
          <w:szCs w:val="24"/>
        </w:rPr>
        <w:t>ainult TVK juhataja ametisse asumise alguses. Samas tekib selle juures küsimus, kes</w:t>
      </w:r>
      <w:r>
        <w:rPr>
          <w:szCs w:val="24"/>
        </w:rPr>
        <w:t xml:space="preserve"> </w:t>
      </w:r>
      <w:r w:rsidR="008D7497" w:rsidRPr="005412D3">
        <w:rPr>
          <w:szCs w:val="24"/>
        </w:rPr>
        <w:t xml:space="preserve">otsustab, millistele koolitustele TVK juhatajad lähevad? </w:t>
      </w:r>
      <w:r>
        <w:rPr>
          <w:szCs w:val="24"/>
        </w:rPr>
        <w:t xml:space="preserve">Ühe variandina võiks kõne alla tulla, et </w:t>
      </w:r>
      <w:r w:rsidR="008D7497" w:rsidRPr="005412D3">
        <w:rPr>
          <w:szCs w:val="24"/>
        </w:rPr>
        <w:t>TVK juhatajad võiksid osaleda samadel koolitustel, kus osalevad advokaadid ja/või</w:t>
      </w:r>
      <w:r>
        <w:rPr>
          <w:szCs w:val="24"/>
        </w:rPr>
        <w:t xml:space="preserve"> </w:t>
      </w:r>
      <w:r w:rsidR="008D7497" w:rsidRPr="005412D3">
        <w:rPr>
          <w:szCs w:val="24"/>
        </w:rPr>
        <w:t>kohtunikud. Komisjoni hinnangul edendaks see ka osapoolte (TVK, advokaatuur, kohtud)</w:t>
      </w:r>
      <w:r>
        <w:rPr>
          <w:szCs w:val="24"/>
        </w:rPr>
        <w:t xml:space="preserve"> </w:t>
      </w:r>
      <w:r w:rsidR="008D7497" w:rsidRPr="005412D3">
        <w:rPr>
          <w:szCs w:val="24"/>
        </w:rPr>
        <w:t>vahelist koostööd ja lihtsustaks omavahelist mõistmist – kõik osapooled oleksid n-ö</w:t>
      </w:r>
      <w:r>
        <w:rPr>
          <w:szCs w:val="24"/>
        </w:rPr>
        <w:t xml:space="preserve"> </w:t>
      </w:r>
      <w:r w:rsidR="008D7497" w:rsidRPr="005412D3">
        <w:rPr>
          <w:szCs w:val="24"/>
        </w:rPr>
        <w:t xml:space="preserve">samas ruumis. Lisaks ei ole selge, et isegi </w:t>
      </w:r>
      <w:r w:rsidR="001C27B7">
        <w:rPr>
          <w:szCs w:val="24"/>
        </w:rPr>
        <w:t xml:space="preserve">kui </w:t>
      </w:r>
      <w:r w:rsidR="008D7497" w:rsidRPr="005412D3">
        <w:rPr>
          <w:szCs w:val="24"/>
        </w:rPr>
        <w:t>täienduskoolituse protseduur paika pannakse,</w:t>
      </w:r>
      <w:r>
        <w:rPr>
          <w:szCs w:val="24"/>
        </w:rPr>
        <w:t xml:space="preserve"> </w:t>
      </w:r>
      <w:r w:rsidR="008D7497" w:rsidRPr="005412D3">
        <w:rPr>
          <w:szCs w:val="24"/>
        </w:rPr>
        <w:t>siis kes hakkab seda kontrollima?</w:t>
      </w:r>
    </w:p>
    <w:p w14:paraId="22C5B177" w14:textId="77777777" w:rsidR="00975EB7" w:rsidRPr="005412D3" w:rsidRDefault="00975EB7" w:rsidP="00B36B70">
      <w:pPr>
        <w:tabs>
          <w:tab w:val="left" w:pos="0"/>
        </w:tabs>
        <w:jc w:val="both"/>
        <w:rPr>
          <w:szCs w:val="24"/>
        </w:rPr>
      </w:pPr>
    </w:p>
    <w:p w14:paraId="7B787BBA" w14:textId="0C285B60" w:rsidR="008D7497" w:rsidRPr="005412D3" w:rsidRDefault="008D7497" w:rsidP="00B36B70">
      <w:pPr>
        <w:tabs>
          <w:tab w:val="left" w:pos="0"/>
        </w:tabs>
        <w:jc w:val="both"/>
        <w:rPr>
          <w:szCs w:val="24"/>
        </w:rPr>
      </w:pPr>
      <w:r w:rsidRPr="005412D3">
        <w:rPr>
          <w:szCs w:val="24"/>
        </w:rPr>
        <w:lastRenderedPageBreak/>
        <w:t>Komisjon märgib veel, et TVK juhataja tegevuse ja/või tema otsuste peale esitatud</w:t>
      </w:r>
      <w:r w:rsidR="00975EB7">
        <w:rPr>
          <w:szCs w:val="24"/>
        </w:rPr>
        <w:t xml:space="preserve"> </w:t>
      </w:r>
      <w:r w:rsidRPr="005412D3">
        <w:rPr>
          <w:szCs w:val="24"/>
        </w:rPr>
        <w:t>kaebuste hulk ei pruugi näidata TVK juhataja pädevust ega töö kvaliteeti, vaid see võib</w:t>
      </w:r>
      <w:r w:rsidR="00975EB7">
        <w:rPr>
          <w:szCs w:val="24"/>
        </w:rPr>
        <w:t xml:space="preserve"> </w:t>
      </w:r>
      <w:r w:rsidRPr="005412D3">
        <w:rPr>
          <w:szCs w:val="24"/>
        </w:rPr>
        <w:t>muutuda hoopis üleskutseks hakata esitama kaebusi. Juhul, kui TVK juhataja pädevust ja</w:t>
      </w:r>
      <w:r w:rsidR="00B304D3">
        <w:rPr>
          <w:szCs w:val="24"/>
        </w:rPr>
        <w:t xml:space="preserve"> </w:t>
      </w:r>
      <w:r w:rsidRPr="005412D3">
        <w:rPr>
          <w:szCs w:val="24"/>
        </w:rPr>
        <w:t>töö kvaliteeti soovitakse siduda tema tegevuse ja/või tema otsuste peale esitatud</w:t>
      </w:r>
      <w:r w:rsidR="00B304D3">
        <w:rPr>
          <w:szCs w:val="24"/>
        </w:rPr>
        <w:t xml:space="preserve"> </w:t>
      </w:r>
      <w:r w:rsidRPr="005412D3">
        <w:rPr>
          <w:szCs w:val="24"/>
        </w:rPr>
        <w:t>kaebustega, siis pigem võiks arvestada, mitu protsenti niisugustest kaebustest</w:t>
      </w:r>
      <w:r w:rsidR="00B304D3">
        <w:rPr>
          <w:szCs w:val="24"/>
        </w:rPr>
        <w:t xml:space="preserve"> </w:t>
      </w:r>
      <w:r w:rsidRPr="005412D3">
        <w:rPr>
          <w:szCs w:val="24"/>
        </w:rPr>
        <w:t>rahuldatakse.</w:t>
      </w:r>
      <w:r w:rsidR="00B304D3">
        <w:rPr>
          <w:szCs w:val="24"/>
        </w:rPr>
        <w:t xml:space="preserve"> </w:t>
      </w:r>
      <w:r w:rsidRPr="005412D3">
        <w:rPr>
          <w:szCs w:val="24"/>
        </w:rPr>
        <w:t>Samuti juhib komisjon tähelepanu, et sisuliselt lahendataks kavandatud</w:t>
      </w:r>
      <w:r w:rsidR="00B304D3">
        <w:rPr>
          <w:szCs w:val="24"/>
        </w:rPr>
        <w:t xml:space="preserve"> </w:t>
      </w:r>
      <w:r w:rsidRPr="005412D3">
        <w:rPr>
          <w:szCs w:val="24"/>
        </w:rPr>
        <w:t>seadusemuudatustega ainult 8 inimese (TVK-des töötab kokku 8 TVK juhatajat)</w:t>
      </w:r>
      <w:r w:rsidR="00B304D3">
        <w:rPr>
          <w:szCs w:val="24"/>
        </w:rPr>
        <w:t xml:space="preserve"> </w:t>
      </w:r>
      <w:r w:rsidRPr="005412D3">
        <w:rPr>
          <w:szCs w:val="24"/>
        </w:rPr>
        <w:t>võimalikke probleeme.</w:t>
      </w:r>
    </w:p>
    <w:p w14:paraId="3317D898" w14:textId="77777777" w:rsidR="008D7497" w:rsidRPr="005412D3" w:rsidRDefault="008D7497" w:rsidP="00B36B70">
      <w:pPr>
        <w:tabs>
          <w:tab w:val="left" w:pos="0"/>
        </w:tabs>
        <w:jc w:val="both"/>
        <w:rPr>
          <w:szCs w:val="24"/>
        </w:rPr>
      </w:pPr>
    </w:p>
    <w:p w14:paraId="196AC98E" w14:textId="1AAC3A46" w:rsidR="00B36B70" w:rsidRDefault="00B36B70" w:rsidP="00B36B70">
      <w:pPr>
        <w:pStyle w:val="ListParagraph"/>
        <w:numPr>
          <w:ilvl w:val="0"/>
          <w:numId w:val="34"/>
        </w:numPr>
        <w:tabs>
          <w:tab w:val="left" w:pos="0"/>
        </w:tabs>
        <w:jc w:val="both"/>
        <w:rPr>
          <w:b/>
          <w:bCs/>
          <w:szCs w:val="24"/>
        </w:rPr>
      </w:pPr>
      <w:r w:rsidRPr="00B36B70">
        <w:rPr>
          <w:b/>
          <w:bCs/>
          <w:szCs w:val="24"/>
        </w:rPr>
        <w:t>Kutsehaiguste, tööõnnetuste ning tööst põhjustatud haigustega kaasneva kahju hüvitamise nõudmise võimalus TVK-s</w:t>
      </w:r>
    </w:p>
    <w:p w14:paraId="1F22E5CD" w14:textId="77777777" w:rsidR="00B36B70" w:rsidRPr="00B36B70" w:rsidRDefault="00B36B70" w:rsidP="00B36B70">
      <w:pPr>
        <w:pStyle w:val="ListParagraph"/>
        <w:tabs>
          <w:tab w:val="left" w:pos="0"/>
        </w:tabs>
        <w:jc w:val="both"/>
        <w:rPr>
          <w:b/>
          <w:bCs/>
          <w:szCs w:val="24"/>
        </w:rPr>
      </w:pPr>
    </w:p>
    <w:p w14:paraId="0F1E0D7E" w14:textId="4EFD4141" w:rsidR="00B36B70" w:rsidRDefault="00B36B70" w:rsidP="00B36B70">
      <w:pPr>
        <w:tabs>
          <w:tab w:val="left" w:pos="0"/>
        </w:tabs>
        <w:jc w:val="both"/>
        <w:rPr>
          <w:szCs w:val="24"/>
        </w:rPr>
      </w:pPr>
      <w:r w:rsidRPr="00B36B70">
        <w:rPr>
          <w:szCs w:val="24"/>
        </w:rPr>
        <w:t>Komisjoni hinnangul ei peaks ühtegi nendest vaidlustest andma TVK pädevusse</w:t>
      </w:r>
      <w:r>
        <w:rPr>
          <w:szCs w:val="24"/>
        </w:rPr>
        <w:t xml:space="preserve"> </w:t>
      </w:r>
      <w:r w:rsidRPr="00B36B70">
        <w:rPr>
          <w:szCs w:val="24"/>
        </w:rPr>
        <w:t>sellisel kujul, nagu on väljatöötamiskavatsuses praegu kajastatud.</w:t>
      </w:r>
      <w:r>
        <w:rPr>
          <w:szCs w:val="24"/>
        </w:rPr>
        <w:t xml:space="preserve"> </w:t>
      </w:r>
      <w:r w:rsidRPr="00B36B70">
        <w:rPr>
          <w:szCs w:val="24"/>
        </w:rPr>
        <w:t>Kutsehaigusi, tööõnnetusi ja tööst põhjustatud haigusi puudutavad vaidlused on väga</w:t>
      </w:r>
      <w:r>
        <w:rPr>
          <w:szCs w:val="24"/>
        </w:rPr>
        <w:t xml:space="preserve"> </w:t>
      </w:r>
      <w:r w:rsidRPr="00B36B70">
        <w:rPr>
          <w:szCs w:val="24"/>
        </w:rPr>
        <w:t>mahukad ja keerulised. Komisjon ei ole kindel, kas TVK-l on olemas vajalik pädevus</w:t>
      </w:r>
      <w:r>
        <w:rPr>
          <w:szCs w:val="24"/>
        </w:rPr>
        <w:t xml:space="preserve"> </w:t>
      </w:r>
      <w:r w:rsidRPr="00B36B70">
        <w:rPr>
          <w:szCs w:val="24"/>
        </w:rPr>
        <w:t>selliste vaidluste lahendamiseks. Kuna taolised vaidlused nõuavad tihti näiteks ka</w:t>
      </w:r>
      <w:r>
        <w:rPr>
          <w:szCs w:val="24"/>
        </w:rPr>
        <w:t xml:space="preserve"> </w:t>
      </w:r>
      <w:r w:rsidRPr="00B36B70">
        <w:rPr>
          <w:szCs w:val="24"/>
        </w:rPr>
        <w:t>arstlikke ekspertiise, ei ole komisjoni hinnangul võimalik selliste vaidluste lahendamine</w:t>
      </w:r>
      <w:r>
        <w:rPr>
          <w:szCs w:val="24"/>
        </w:rPr>
        <w:t xml:space="preserve"> </w:t>
      </w:r>
      <w:r w:rsidRPr="00B36B70">
        <w:rPr>
          <w:szCs w:val="24"/>
        </w:rPr>
        <w:t>TVK-s 45 kalendripäevase tähtaja jooksul (</w:t>
      </w:r>
      <w:proofErr w:type="spellStart"/>
      <w:r w:rsidRPr="00B36B70">
        <w:rPr>
          <w:szCs w:val="24"/>
        </w:rPr>
        <w:t>TvLS</w:t>
      </w:r>
      <w:proofErr w:type="spellEnd"/>
      <w:r w:rsidRPr="00B36B70">
        <w:rPr>
          <w:szCs w:val="24"/>
        </w:rPr>
        <w:t xml:space="preserve"> § 38 lg 1). </w:t>
      </w:r>
      <w:r w:rsidR="008C32F6">
        <w:rPr>
          <w:szCs w:val="24"/>
        </w:rPr>
        <w:t>A</w:t>
      </w:r>
      <w:r w:rsidRPr="00B36B70">
        <w:rPr>
          <w:szCs w:val="24"/>
        </w:rPr>
        <w:t>inuüksi meditsiinilise</w:t>
      </w:r>
      <w:r>
        <w:rPr>
          <w:szCs w:val="24"/>
        </w:rPr>
        <w:t xml:space="preserve"> </w:t>
      </w:r>
      <w:r w:rsidRPr="00B36B70">
        <w:rPr>
          <w:szCs w:val="24"/>
        </w:rPr>
        <w:t>ekspertiisi läbiviimine võtab mitmeid kuid.</w:t>
      </w:r>
    </w:p>
    <w:p w14:paraId="0EBA1890" w14:textId="77777777" w:rsidR="00B36B70" w:rsidRPr="00B36B70" w:rsidRDefault="00B36B70" w:rsidP="00B36B70">
      <w:pPr>
        <w:tabs>
          <w:tab w:val="left" w:pos="0"/>
        </w:tabs>
        <w:jc w:val="both"/>
        <w:rPr>
          <w:szCs w:val="24"/>
        </w:rPr>
      </w:pPr>
    </w:p>
    <w:p w14:paraId="67F38326" w14:textId="153F0B0B" w:rsidR="00B36B70" w:rsidRDefault="00B36B70" w:rsidP="00B36B70">
      <w:pPr>
        <w:tabs>
          <w:tab w:val="left" w:pos="0"/>
        </w:tabs>
        <w:jc w:val="both"/>
        <w:rPr>
          <w:szCs w:val="24"/>
        </w:rPr>
      </w:pPr>
      <w:r w:rsidRPr="00B36B70">
        <w:rPr>
          <w:szCs w:val="24"/>
        </w:rPr>
        <w:t>Juhul, kui selliseid vaidlusi lahendada aga kiirustades, suureneks kahtlemata kohtusse</w:t>
      </w:r>
      <w:r>
        <w:rPr>
          <w:szCs w:val="24"/>
        </w:rPr>
        <w:t xml:space="preserve"> </w:t>
      </w:r>
      <w:r w:rsidRPr="00B36B70">
        <w:rPr>
          <w:szCs w:val="24"/>
        </w:rPr>
        <w:t>pöördumiste arv (TVK otsuste vaidlustamine) ning see suurendaks kohtute töökoormust</w:t>
      </w:r>
      <w:r>
        <w:rPr>
          <w:szCs w:val="24"/>
        </w:rPr>
        <w:t xml:space="preserve"> </w:t>
      </w:r>
      <w:r w:rsidRPr="00B36B70">
        <w:rPr>
          <w:szCs w:val="24"/>
        </w:rPr>
        <w:t>veelgi. Juhul, kui pooled pöörduvad selliste vaidlustega TVK-st edasi kohtusse, ei ole</w:t>
      </w:r>
      <w:r>
        <w:rPr>
          <w:szCs w:val="24"/>
        </w:rPr>
        <w:t xml:space="preserve"> </w:t>
      </w:r>
      <w:r w:rsidRPr="00B36B70">
        <w:rPr>
          <w:szCs w:val="24"/>
        </w:rPr>
        <w:t>menetlus kindlasti ka lühem ega odavam (mis on TVK menetluse üldine eesmärk).</w:t>
      </w:r>
      <w:r>
        <w:rPr>
          <w:szCs w:val="24"/>
        </w:rPr>
        <w:t xml:space="preserve"> </w:t>
      </w:r>
      <w:r w:rsidRPr="00B36B70">
        <w:rPr>
          <w:szCs w:val="24"/>
        </w:rPr>
        <w:t>Seega on ekslik VTK-s toodud väide, et praegune õiguskord pigem loob soodsa</w:t>
      </w:r>
      <w:r>
        <w:rPr>
          <w:szCs w:val="24"/>
        </w:rPr>
        <w:t xml:space="preserve"> </w:t>
      </w:r>
      <w:r w:rsidRPr="00B36B70">
        <w:rPr>
          <w:szCs w:val="24"/>
        </w:rPr>
        <w:t>võimaluse õiguse realiseerimisest loobumiseks, tuues kaasa ebamõistlikult pika</w:t>
      </w:r>
      <w:r>
        <w:rPr>
          <w:szCs w:val="24"/>
        </w:rPr>
        <w:t xml:space="preserve"> </w:t>
      </w:r>
      <w:r w:rsidRPr="00B36B70">
        <w:rPr>
          <w:szCs w:val="24"/>
        </w:rPr>
        <w:t>menetlusaja ja kõrged kulud. Kui tööandjad saavad nt kutsehaiguse vaidluses TVK-s</w:t>
      </w:r>
      <w:r>
        <w:rPr>
          <w:szCs w:val="24"/>
        </w:rPr>
        <w:t xml:space="preserve"> </w:t>
      </w:r>
      <w:r w:rsidRPr="00B36B70">
        <w:rPr>
          <w:szCs w:val="24"/>
        </w:rPr>
        <w:t>negatiivse otsuse, on selle vaidlustamise tõenäosus enam kui 90% arvestades</w:t>
      </w:r>
      <w:r>
        <w:rPr>
          <w:szCs w:val="24"/>
        </w:rPr>
        <w:t xml:space="preserve"> </w:t>
      </w:r>
      <w:r w:rsidRPr="00B36B70">
        <w:rPr>
          <w:szCs w:val="24"/>
        </w:rPr>
        <w:t>kutsehaiguse vaidlustes väljamõistetavate summade suurust ja hüvitise maksmise aja</w:t>
      </w:r>
      <w:r>
        <w:rPr>
          <w:szCs w:val="24"/>
        </w:rPr>
        <w:t xml:space="preserve"> </w:t>
      </w:r>
      <w:r w:rsidRPr="00B36B70">
        <w:rPr>
          <w:szCs w:val="24"/>
        </w:rPr>
        <w:t>pikkust. Seega antud vaidluse alustamisel TVK-s muutuks vaidlus vastupidiselt veel</w:t>
      </w:r>
      <w:r>
        <w:rPr>
          <w:szCs w:val="24"/>
        </w:rPr>
        <w:t xml:space="preserve"> </w:t>
      </w:r>
      <w:r w:rsidRPr="00B36B70">
        <w:rPr>
          <w:szCs w:val="24"/>
        </w:rPr>
        <w:t>pikemaks ja veelgi kulukamaks.</w:t>
      </w:r>
      <w:r>
        <w:rPr>
          <w:szCs w:val="24"/>
        </w:rPr>
        <w:t xml:space="preserve"> </w:t>
      </w:r>
      <w:r w:rsidRPr="00B36B70">
        <w:rPr>
          <w:szCs w:val="24"/>
        </w:rPr>
        <w:t>Arvestades, et TVK menetluses kannab kumbki pool oma kulud ise (</w:t>
      </w:r>
      <w:proofErr w:type="spellStart"/>
      <w:r w:rsidRPr="00B36B70">
        <w:rPr>
          <w:szCs w:val="24"/>
        </w:rPr>
        <w:t>TvLS</w:t>
      </w:r>
      <w:proofErr w:type="spellEnd"/>
      <w:r w:rsidRPr="00B36B70">
        <w:rPr>
          <w:szCs w:val="24"/>
        </w:rPr>
        <w:t xml:space="preserve"> § 16 lg 1)</w:t>
      </w:r>
      <w:r>
        <w:rPr>
          <w:szCs w:val="24"/>
        </w:rPr>
        <w:t xml:space="preserve"> </w:t>
      </w:r>
      <w:r w:rsidRPr="00B36B70">
        <w:rPr>
          <w:szCs w:val="24"/>
        </w:rPr>
        <w:t>soovib komisjon veel välja tuua, et juhul kui kutsehaigustega seotud vaidluses määrab</w:t>
      </w:r>
      <w:r>
        <w:rPr>
          <w:szCs w:val="24"/>
        </w:rPr>
        <w:t xml:space="preserve"> </w:t>
      </w:r>
      <w:r w:rsidRPr="00B36B70">
        <w:rPr>
          <w:szCs w:val="24"/>
        </w:rPr>
        <w:t>ekspertiisi TVK juhataja oma algatusel (mitte seda ei taotle kumbki pool), siis ei ole</w:t>
      </w:r>
      <w:r>
        <w:rPr>
          <w:szCs w:val="24"/>
        </w:rPr>
        <w:t xml:space="preserve"> </w:t>
      </w:r>
      <w:r w:rsidRPr="00B36B70">
        <w:rPr>
          <w:szCs w:val="24"/>
        </w:rPr>
        <w:t xml:space="preserve">põhjendatud jätta neid kulusid poolte kanda (vrd </w:t>
      </w:r>
      <w:proofErr w:type="spellStart"/>
      <w:r w:rsidRPr="00B36B70">
        <w:rPr>
          <w:szCs w:val="24"/>
        </w:rPr>
        <w:t>TsMS</w:t>
      </w:r>
      <w:proofErr w:type="spellEnd"/>
      <w:r w:rsidRPr="00B36B70">
        <w:rPr>
          <w:szCs w:val="24"/>
        </w:rPr>
        <w:t xml:space="preserve"> § 148 lg 1).</w:t>
      </w:r>
    </w:p>
    <w:p w14:paraId="7D9A2318" w14:textId="77777777" w:rsidR="00B36B70" w:rsidRPr="00B36B70" w:rsidRDefault="00B36B70" w:rsidP="00B36B70">
      <w:pPr>
        <w:tabs>
          <w:tab w:val="left" w:pos="0"/>
        </w:tabs>
        <w:jc w:val="both"/>
        <w:rPr>
          <w:szCs w:val="24"/>
        </w:rPr>
      </w:pPr>
    </w:p>
    <w:p w14:paraId="46C9E6B4" w14:textId="64BD37D2" w:rsidR="00B36B70" w:rsidRDefault="00B36B70" w:rsidP="00B36B70">
      <w:pPr>
        <w:tabs>
          <w:tab w:val="left" w:pos="0"/>
        </w:tabs>
        <w:jc w:val="both"/>
        <w:rPr>
          <w:szCs w:val="24"/>
        </w:rPr>
      </w:pPr>
      <w:r w:rsidRPr="00B36B70">
        <w:rPr>
          <w:szCs w:val="24"/>
        </w:rPr>
        <w:t>Komisjon leiab kokkuvõttes, et kutsehaiguste, tööõnnetuste ning tööst põhjustatud</w:t>
      </w:r>
      <w:r>
        <w:rPr>
          <w:szCs w:val="24"/>
        </w:rPr>
        <w:t xml:space="preserve"> </w:t>
      </w:r>
      <w:r w:rsidRPr="00B36B70">
        <w:rPr>
          <w:szCs w:val="24"/>
        </w:rPr>
        <w:t>haigustega kaasneva kahju hüvitamise nõuete menetlemise andmine TVK pädevusse on</w:t>
      </w:r>
      <w:r>
        <w:rPr>
          <w:szCs w:val="24"/>
        </w:rPr>
        <w:t xml:space="preserve"> </w:t>
      </w:r>
      <w:r w:rsidRPr="00B36B70">
        <w:rPr>
          <w:szCs w:val="24"/>
        </w:rPr>
        <w:t>õiguspoliitiline otsus, ent vaidluste mahtu ja keerukust arvestades peaksid need jääma</w:t>
      </w:r>
      <w:r>
        <w:rPr>
          <w:szCs w:val="24"/>
        </w:rPr>
        <w:t xml:space="preserve"> </w:t>
      </w:r>
      <w:r w:rsidRPr="00B36B70">
        <w:rPr>
          <w:szCs w:val="24"/>
        </w:rPr>
        <w:t>kohtute pädevusse.</w:t>
      </w:r>
    </w:p>
    <w:p w14:paraId="38749184" w14:textId="77777777" w:rsidR="00B36B70" w:rsidRPr="00B36B70" w:rsidRDefault="00B36B70" w:rsidP="00B36B70">
      <w:pPr>
        <w:tabs>
          <w:tab w:val="left" w:pos="0"/>
        </w:tabs>
        <w:jc w:val="both"/>
        <w:rPr>
          <w:szCs w:val="24"/>
        </w:rPr>
      </w:pPr>
    </w:p>
    <w:p w14:paraId="1CCA37A8" w14:textId="2481FBE8" w:rsidR="008D7497" w:rsidRDefault="00D95161" w:rsidP="00B36B70">
      <w:pPr>
        <w:tabs>
          <w:tab w:val="left" w:pos="0"/>
        </w:tabs>
        <w:jc w:val="both"/>
        <w:rPr>
          <w:szCs w:val="24"/>
        </w:rPr>
      </w:pPr>
      <w:r>
        <w:rPr>
          <w:szCs w:val="24"/>
        </w:rPr>
        <w:t xml:space="preserve">Juhuks, kui </w:t>
      </w:r>
      <w:r w:rsidR="00671E94">
        <w:rPr>
          <w:szCs w:val="24"/>
        </w:rPr>
        <w:t xml:space="preserve">nimetatud </w:t>
      </w:r>
      <w:r w:rsidR="00010568">
        <w:rPr>
          <w:szCs w:val="24"/>
        </w:rPr>
        <w:t xml:space="preserve">nõuded otsustatakse </w:t>
      </w:r>
      <w:r w:rsidR="00671E94">
        <w:rPr>
          <w:szCs w:val="24"/>
        </w:rPr>
        <w:t>siiski</w:t>
      </w:r>
      <w:r w:rsidR="00B36B70" w:rsidRPr="00B36B70">
        <w:rPr>
          <w:szCs w:val="24"/>
        </w:rPr>
        <w:t xml:space="preserve"> </w:t>
      </w:r>
      <w:r w:rsidR="00010568">
        <w:rPr>
          <w:szCs w:val="24"/>
        </w:rPr>
        <w:t xml:space="preserve">anda </w:t>
      </w:r>
      <w:r w:rsidR="00B36B70" w:rsidRPr="00B36B70">
        <w:rPr>
          <w:szCs w:val="24"/>
        </w:rPr>
        <w:t>TVK pädevus</w:t>
      </w:r>
      <w:r w:rsidR="00671E94">
        <w:rPr>
          <w:szCs w:val="24"/>
        </w:rPr>
        <w:t>se</w:t>
      </w:r>
      <w:r w:rsidR="00010568">
        <w:rPr>
          <w:szCs w:val="24"/>
        </w:rPr>
        <w:t xml:space="preserve">, </w:t>
      </w:r>
      <w:r w:rsidR="00B36B70" w:rsidRPr="00B36B70">
        <w:rPr>
          <w:szCs w:val="24"/>
        </w:rPr>
        <w:t>siis peaks</w:t>
      </w:r>
      <w:r w:rsidR="00B36B70">
        <w:rPr>
          <w:szCs w:val="24"/>
        </w:rPr>
        <w:t xml:space="preserve"> </w:t>
      </w:r>
      <w:r w:rsidR="00B36B70" w:rsidRPr="00B36B70">
        <w:rPr>
          <w:szCs w:val="24"/>
        </w:rPr>
        <w:t>seda tüüpi vaidluste lahendamisele kindlasti kohalduma oluliselt pikem tähtaeg kui</w:t>
      </w:r>
      <w:r w:rsidR="00B36B70">
        <w:rPr>
          <w:szCs w:val="24"/>
        </w:rPr>
        <w:t xml:space="preserve"> </w:t>
      </w:r>
      <w:r w:rsidR="00B36B70" w:rsidRPr="00B36B70">
        <w:rPr>
          <w:szCs w:val="24"/>
        </w:rPr>
        <w:t>tavapärane 45 kalendripäeva, kuivõrd nii lühikese aja jooksul ei ole taolisi vaidlusi</w:t>
      </w:r>
      <w:r w:rsidR="00B36B70">
        <w:rPr>
          <w:szCs w:val="24"/>
        </w:rPr>
        <w:t xml:space="preserve"> </w:t>
      </w:r>
      <w:r w:rsidR="00B36B70" w:rsidRPr="00B36B70">
        <w:rPr>
          <w:szCs w:val="24"/>
        </w:rPr>
        <w:t>võimalik põhjalikult lahendada.</w:t>
      </w:r>
      <w:r w:rsidR="00B36B70">
        <w:rPr>
          <w:szCs w:val="24"/>
        </w:rPr>
        <w:t xml:space="preserve"> </w:t>
      </w:r>
      <w:r w:rsidR="00B36B70" w:rsidRPr="00B36B70">
        <w:rPr>
          <w:szCs w:val="24"/>
        </w:rPr>
        <w:t>Samuti võiks sellisel juhul kaaluda juba ka teiste vaidluste (nt konkurentsipiirangu</w:t>
      </w:r>
      <w:r w:rsidR="00B36B70">
        <w:rPr>
          <w:szCs w:val="24"/>
        </w:rPr>
        <w:t xml:space="preserve"> </w:t>
      </w:r>
      <w:r w:rsidR="00B36B70" w:rsidRPr="00B36B70">
        <w:rPr>
          <w:szCs w:val="24"/>
        </w:rPr>
        <w:t>kokkuleppe täitmise küsimused, mida TVK on seni lahendanud üksnes piiratud ulatuses)</w:t>
      </w:r>
      <w:r w:rsidR="00B36B70">
        <w:rPr>
          <w:szCs w:val="24"/>
        </w:rPr>
        <w:t xml:space="preserve"> </w:t>
      </w:r>
      <w:r w:rsidR="00B36B70" w:rsidRPr="00B36B70">
        <w:rPr>
          <w:szCs w:val="24"/>
        </w:rPr>
        <w:t>lahendamise andmist TVK pädevusse täies ulatuses.</w:t>
      </w:r>
    </w:p>
    <w:p w14:paraId="421B2A26" w14:textId="77777777" w:rsidR="00550C06" w:rsidRDefault="00550C06" w:rsidP="00B36B70">
      <w:pPr>
        <w:tabs>
          <w:tab w:val="left" w:pos="0"/>
        </w:tabs>
        <w:jc w:val="both"/>
        <w:rPr>
          <w:szCs w:val="24"/>
        </w:rPr>
      </w:pPr>
    </w:p>
    <w:p w14:paraId="7C9507B7" w14:textId="77777777" w:rsidR="00550C06" w:rsidRDefault="00550C06" w:rsidP="00B36B70">
      <w:pPr>
        <w:tabs>
          <w:tab w:val="left" w:pos="0"/>
        </w:tabs>
        <w:jc w:val="both"/>
        <w:rPr>
          <w:szCs w:val="24"/>
        </w:rPr>
      </w:pPr>
    </w:p>
    <w:p w14:paraId="068DA309" w14:textId="77777777" w:rsidR="00550C06" w:rsidRDefault="00550C06" w:rsidP="00B36B70">
      <w:pPr>
        <w:tabs>
          <w:tab w:val="left" w:pos="0"/>
        </w:tabs>
        <w:jc w:val="both"/>
        <w:rPr>
          <w:szCs w:val="24"/>
        </w:rPr>
      </w:pPr>
    </w:p>
    <w:p w14:paraId="58B486C4" w14:textId="77777777" w:rsidR="00550C06" w:rsidRDefault="00550C06" w:rsidP="00B36B70">
      <w:pPr>
        <w:tabs>
          <w:tab w:val="left" w:pos="0"/>
        </w:tabs>
        <w:jc w:val="both"/>
        <w:rPr>
          <w:szCs w:val="24"/>
        </w:rPr>
      </w:pPr>
    </w:p>
    <w:p w14:paraId="2407FF5D" w14:textId="77777777" w:rsidR="00550C06" w:rsidRDefault="00550C06" w:rsidP="00B36B70">
      <w:pPr>
        <w:tabs>
          <w:tab w:val="left" w:pos="0"/>
        </w:tabs>
        <w:jc w:val="both"/>
        <w:rPr>
          <w:szCs w:val="24"/>
        </w:rPr>
      </w:pPr>
    </w:p>
    <w:p w14:paraId="0714E6D1" w14:textId="77777777" w:rsidR="00B36B70" w:rsidRDefault="00B36B70" w:rsidP="00B36B70">
      <w:pPr>
        <w:tabs>
          <w:tab w:val="left" w:pos="0"/>
        </w:tabs>
        <w:jc w:val="both"/>
        <w:rPr>
          <w:szCs w:val="24"/>
        </w:rPr>
      </w:pPr>
    </w:p>
    <w:p w14:paraId="183CFD0B" w14:textId="0BD4E9BE" w:rsidR="00B36B70" w:rsidRPr="002B3FE1" w:rsidRDefault="002B3FE1" w:rsidP="00B36B70">
      <w:pPr>
        <w:tabs>
          <w:tab w:val="left" w:pos="0"/>
        </w:tabs>
        <w:jc w:val="both"/>
        <w:rPr>
          <w:b/>
          <w:bCs/>
          <w:szCs w:val="24"/>
        </w:rPr>
      </w:pPr>
      <w:r w:rsidRPr="002B3FE1">
        <w:rPr>
          <w:b/>
          <w:bCs/>
          <w:szCs w:val="24"/>
        </w:rPr>
        <w:lastRenderedPageBreak/>
        <w:t>II Menetlusõiguse komisjoni seisukohad</w:t>
      </w:r>
    </w:p>
    <w:p w14:paraId="65E9D763" w14:textId="77777777" w:rsidR="002B3FE1" w:rsidRDefault="002B3FE1" w:rsidP="00B36B70">
      <w:pPr>
        <w:tabs>
          <w:tab w:val="left" w:pos="0"/>
        </w:tabs>
        <w:jc w:val="both"/>
        <w:rPr>
          <w:szCs w:val="24"/>
        </w:rPr>
      </w:pPr>
    </w:p>
    <w:p w14:paraId="6A9797C4" w14:textId="7169E401" w:rsidR="00366B1E" w:rsidRDefault="00366B1E" w:rsidP="00366B1E">
      <w:pPr>
        <w:tabs>
          <w:tab w:val="left" w:pos="0"/>
        </w:tabs>
        <w:jc w:val="both"/>
        <w:rPr>
          <w:b/>
          <w:bCs/>
          <w:szCs w:val="24"/>
        </w:rPr>
      </w:pPr>
      <w:r w:rsidRPr="00366B1E">
        <w:rPr>
          <w:b/>
          <w:bCs/>
          <w:szCs w:val="24"/>
        </w:rPr>
        <w:t xml:space="preserve">Kutsehaiguste, tööõnnetuste ning tööst põhjustatud haigustega kaasneva kahju hüvitamise </w:t>
      </w:r>
      <w:r>
        <w:rPr>
          <w:b/>
          <w:bCs/>
          <w:szCs w:val="24"/>
        </w:rPr>
        <w:t>nõuete allutamisest TVK-</w:t>
      </w:r>
      <w:proofErr w:type="spellStart"/>
      <w:r>
        <w:rPr>
          <w:b/>
          <w:bCs/>
          <w:szCs w:val="24"/>
        </w:rPr>
        <w:t>le</w:t>
      </w:r>
      <w:proofErr w:type="spellEnd"/>
    </w:p>
    <w:p w14:paraId="36956EFA" w14:textId="77777777" w:rsidR="00366B1E" w:rsidRDefault="00366B1E" w:rsidP="00366B1E">
      <w:pPr>
        <w:tabs>
          <w:tab w:val="left" w:pos="0"/>
        </w:tabs>
        <w:jc w:val="both"/>
        <w:rPr>
          <w:b/>
          <w:bCs/>
          <w:szCs w:val="24"/>
        </w:rPr>
      </w:pPr>
    </w:p>
    <w:p w14:paraId="6990B744" w14:textId="77777777" w:rsidR="00DD38E3" w:rsidRDefault="003308B4" w:rsidP="00751772">
      <w:pPr>
        <w:jc w:val="both"/>
        <w:rPr>
          <w:szCs w:val="24"/>
        </w:rPr>
      </w:pPr>
      <w:r>
        <w:rPr>
          <w:szCs w:val="24"/>
        </w:rPr>
        <w:t>T</w:t>
      </w:r>
      <w:r w:rsidR="00751772" w:rsidRPr="00751772">
        <w:rPr>
          <w:szCs w:val="24"/>
        </w:rPr>
        <w:t>ööõnnetusest, tööst põhjustatud haigestumisest ja kutsehaigusest tingitud kahju hüvitamise asjade lahendamisel on tavapäraselt vajadus meditsiinialaste eriteadmiste järele. Seetõttu on tavapärane, et sellistes asjades tuleb määrata ekspertiis või isegi mitu ekspertiisi. Ekspertiisid on vajalikud nii tervisekahjustuse tõsiduse kui ka tööõnnetuse/kutsehaiguse/tööst tingitud haiguse ja kahju vahelise põhjusliku seose tuvastamiseks.</w:t>
      </w:r>
    </w:p>
    <w:p w14:paraId="2215A764" w14:textId="77777777" w:rsidR="00DD38E3" w:rsidRDefault="00DD38E3" w:rsidP="00751772">
      <w:pPr>
        <w:jc w:val="both"/>
        <w:rPr>
          <w:szCs w:val="24"/>
        </w:rPr>
      </w:pPr>
    </w:p>
    <w:p w14:paraId="44B147D4" w14:textId="2E45E532" w:rsidR="00751772" w:rsidRPr="00751772" w:rsidRDefault="00751772" w:rsidP="00751772">
      <w:pPr>
        <w:jc w:val="both"/>
        <w:rPr>
          <w:szCs w:val="24"/>
        </w:rPr>
      </w:pPr>
      <w:r w:rsidRPr="00751772">
        <w:rPr>
          <w:szCs w:val="24"/>
        </w:rPr>
        <w:t xml:space="preserve">TVK-l ei ole kehtiva </w:t>
      </w:r>
      <w:proofErr w:type="spellStart"/>
      <w:r w:rsidRPr="00751772">
        <w:rPr>
          <w:szCs w:val="24"/>
        </w:rPr>
        <w:t>TvLS</w:t>
      </w:r>
      <w:proofErr w:type="spellEnd"/>
      <w:r w:rsidRPr="00751772">
        <w:rPr>
          <w:szCs w:val="24"/>
        </w:rPr>
        <w:t xml:space="preserve"> järgi võimalik määrata ekspertiise. Sarnaselt </w:t>
      </w:r>
      <w:proofErr w:type="spellStart"/>
      <w:r w:rsidRPr="00751772">
        <w:rPr>
          <w:szCs w:val="24"/>
        </w:rPr>
        <w:t>TsMS</w:t>
      </w:r>
      <w:proofErr w:type="spellEnd"/>
      <w:r w:rsidRPr="00751772">
        <w:rPr>
          <w:szCs w:val="24"/>
        </w:rPr>
        <w:t xml:space="preserve"> hagimenetluse sätetega on ka </w:t>
      </w:r>
      <w:proofErr w:type="spellStart"/>
      <w:r w:rsidRPr="00751772">
        <w:rPr>
          <w:szCs w:val="24"/>
        </w:rPr>
        <w:t>TvLS-is</w:t>
      </w:r>
      <w:proofErr w:type="spellEnd"/>
      <w:r w:rsidRPr="00751772">
        <w:rPr>
          <w:szCs w:val="24"/>
        </w:rPr>
        <w:t xml:space="preserve"> sätestatud tõendite </w:t>
      </w:r>
      <w:proofErr w:type="spellStart"/>
      <w:r w:rsidRPr="00751772">
        <w:rPr>
          <w:i/>
          <w:iCs/>
          <w:szCs w:val="24"/>
        </w:rPr>
        <w:t>numerus</w:t>
      </w:r>
      <w:proofErr w:type="spellEnd"/>
      <w:r w:rsidRPr="00751772">
        <w:rPr>
          <w:i/>
          <w:iCs/>
          <w:szCs w:val="24"/>
        </w:rPr>
        <w:t xml:space="preserve"> </w:t>
      </w:r>
      <w:proofErr w:type="spellStart"/>
      <w:r w:rsidRPr="00751772">
        <w:rPr>
          <w:i/>
          <w:iCs/>
          <w:szCs w:val="24"/>
        </w:rPr>
        <w:t>clausus</w:t>
      </w:r>
      <w:proofErr w:type="spellEnd"/>
      <w:r w:rsidRPr="00751772">
        <w:rPr>
          <w:szCs w:val="24"/>
        </w:rPr>
        <w:t xml:space="preserve">. </w:t>
      </w:r>
      <w:proofErr w:type="spellStart"/>
      <w:r w:rsidRPr="00751772">
        <w:rPr>
          <w:szCs w:val="24"/>
        </w:rPr>
        <w:t>TvLS</w:t>
      </w:r>
      <w:proofErr w:type="spellEnd"/>
      <w:r w:rsidRPr="00751772">
        <w:rPr>
          <w:szCs w:val="24"/>
        </w:rPr>
        <w:t xml:space="preserve"> § 44 lg 2 kohaselt võib töövaidluskomisjonis tõendiks olla tunnistaja ütlus, dokumentaalne tõend, asitõend ja vaatlus. Ekspertiis TVK-s tõendiks ei ole. VTK lk 10 on viidatud sellele, et kutsehaiguste keerukama olemuse tõttu võib tekkida vajadus TVK-l pöörduda eriteadmistega isiku poole või tellida ekspertiis sarnaselt tsiviilkohtumenetluse seadustiku 32. peatükis sätestatud korrale. See märkus on esitatud ekspertiisi kuludega seonduvalt.  </w:t>
      </w:r>
    </w:p>
    <w:p w14:paraId="41197589" w14:textId="77777777" w:rsidR="00DD38E3" w:rsidRDefault="00DD38E3" w:rsidP="00751772">
      <w:pPr>
        <w:jc w:val="both"/>
        <w:rPr>
          <w:szCs w:val="24"/>
        </w:rPr>
      </w:pPr>
    </w:p>
    <w:p w14:paraId="601D7039" w14:textId="2A019000" w:rsidR="00751772" w:rsidRDefault="00DD38E3" w:rsidP="00751772">
      <w:pPr>
        <w:jc w:val="both"/>
        <w:rPr>
          <w:szCs w:val="24"/>
        </w:rPr>
      </w:pPr>
      <w:r>
        <w:rPr>
          <w:szCs w:val="24"/>
        </w:rPr>
        <w:t xml:space="preserve">Komisjon </w:t>
      </w:r>
      <w:r w:rsidR="00751772" w:rsidRPr="00751772">
        <w:rPr>
          <w:szCs w:val="24"/>
        </w:rPr>
        <w:t>ei pea võimalikuks toetada TVK-</w:t>
      </w:r>
      <w:proofErr w:type="spellStart"/>
      <w:r w:rsidR="00751772" w:rsidRPr="00751772">
        <w:rPr>
          <w:szCs w:val="24"/>
        </w:rPr>
        <w:t>le</w:t>
      </w:r>
      <w:proofErr w:type="spellEnd"/>
      <w:r w:rsidR="00751772" w:rsidRPr="00751772">
        <w:rPr>
          <w:szCs w:val="24"/>
        </w:rPr>
        <w:t xml:space="preserve"> vaidluste lahendamisel ekspertiisi määramise õiguse andmist, kuna see ei oleks kooskõlas TVK kui täitevvõimu organi olemusega. </w:t>
      </w:r>
      <w:r>
        <w:rPr>
          <w:szCs w:val="24"/>
        </w:rPr>
        <w:t>Siin võib välja tuua järgmised probleemid:</w:t>
      </w:r>
    </w:p>
    <w:p w14:paraId="64F1E451" w14:textId="77777777" w:rsidR="00DD38E3" w:rsidRPr="00751772" w:rsidRDefault="00DD38E3" w:rsidP="00751772">
      <w:pPr>
        <w:jc w:val="both"/>
        <w:rPr>
          <w:szCs w:val="24"/>
        </w:rPr>
      </w:pPr>
    </w:p>
    <w:p w14:paraId="64671D3C" w14:textId="77777777" w:rsidR="00751772" w:rsidRPr="00751772" w:rsidRDefault="00751772" w:rsidP="00751772">
      <w:pPr>
        <w:widowControl/>
        <w:numPr>
          <w:ilvl w:val="0"/>
          <w:numId w:val="36"/>
        </w:numPr>
        <w:tabs>
          <w:tab w:val="clear" w:pos="360"/>
          <w:tab w:val="num" w:pos="720"/>
        </w:tabs>
        <w:suppressAutoHyphens w:val="0"/>
        <w:spacing w:after="160"/>
        <w:jc w:val="both"/>
        <w:rPr>
          <w:szCs w:val="24"/>
        </w:rPr>
      </w:pPr>
      <w:r w:rsidRPr="00751772">
        <w:rPr>
          <w:szCs w:val="24"/>
        </w:rPr>
        <w:t>Kohtu määramisel on ekspertiisi tegemine eksperdile kohustuslik (</w:t>
      </w:r>
      <w:proofErr w:type="spellStart"/>
      <w:r w:rsidRPr="00751772">
        <w:rPr>
          <w:szCs w:val="24"/>
        </w:rPr>
        <w:t>TsMS</w:t>
      </w:r>
      <w:proofErr w:type="spellEnd"/>
      <w:r w:rsidRPr="00751772">
        <w:rPr>
          <w:szCs w:val="24"/>
        </w:rPr>
        <w:t xml:space="preserve"> § 295). TVK ei saa teha ekspertiisi tegemist eksperdile kohustuslikuks, TVK-l puudub sunnimehhanism ja nii peaks see mittekohtuliku organi puhul ka jääma.</w:t>
      </w:r>
    </w:p>
    <w:p w14:paraId="62D98187" w14:textId="77777777" w:rsidR="00751772" w:rsidRPr="00751772" w:rsidRDefault="00751772" w:rsidP="00751772">
      <w:pPr>
        <w:widowControl/>
        <w:numPr>
          <w:ilvl w:val="0"/>
          <w:numId w:val="36"/>
        </w:numPr>
        <w:tabs>
          <w:tab w:val="clear" w:pos="360"/>
          <w:tab w:val="num" w:pos="720"/>
        </w:tabs>
        <w:suppressAutoHyphens w:val="0"/>
        <w:spacing w:after="160"/>
        <w:jc w:val="both"/>
        <w:rPr>
          <w:szCs w:val="24"/>
        </w:rPr>
      </w:pPr>
      <w:r w:rsidRPr="00751772">
        <w:rPr>
          <w:szCs w:val="24"/>
        </w:rPr>
        <w:t xml:space="preserve">TVK ei saa eksperte vannutada ega kriminaalvastutuse eest hoiatada, niisamuti nagu ta ei vannuta ega hoiata tunnistajaid. Tunnistajavande puudumise kompenseerib see, et kohtus vaadatakse sama vaidlus uuesti läbi ja seega kuulatakse uuesti üle asjakohased tunnistajad. Samas oleks ilmselgelt ebaotstarbekas uue ekspertiisi määramine kohtumenetluses eesmärgiga kõrvaldada puudujäägid, mille tõttu TVK menetluses määratud ekspertiis ei ole kohtus lubatav tõend. Tulemus oleks VTK eesmärgiga vastupidine – suureneks poolte ajaline ja rahaline kulu. </w:t>
      </w:r>
    </w:p>
    <w:p w14:paraId="4D4B061D" w14:textId="77777777" w:rsidR="00751772" w:rsidRPr="00751772" w:rsidRDefault="00751772" w:rsidP="00751772">
      <w:pPr>
        <w:widowControl/>
        <w:numPr>
          <w:ilvl w:val="0"/>
          <w:numId w:val="36"/>
        </w:numPr>
        <w:tabs>
          <w:tab w:val="clear" w:pos="360"/>
          <w:tab w:val="num" w:pos="720"/>
        </w:tabs>
        <w:suppressAutoHyphens w:val="0"/>
        <w:spacing w:after="160"/>
        <w:jc w:val="both"/>
        <w:rPr>
          <w:szCs w:val="24"/>
        </w:rPr>
      </w:pPr>
      <w:r w:rsidRPr="00751772">
        <w:rPr>
          <w:szCs w:val="24"/>
        </w:rPr>
        <w:t>Kohtumenetluses saab ekspert esitada tema tasu kindlaksmääramisele või tasu määramata jätmisele määruskaebuse, samuti saavad tasu määramise vaidlustada pooled ja Eesti Vabariik (</w:t>
      </w:r>
      <w:proofErr w:type="spellStart"/>
      <w:r w:rsidRPr="00751772">
        <w:rPr>
          <w:szCs w:val="24"/>
        </w:rPr>
        <w:t>TsMS</w:t>
      </w:r>
      <w:proofErr w:type="spellEnd"/>
      <w:r w:rsidRPr="00751772">
        <w:rPr>
          <w:szCs w:val="24"/>
        </w:rPr>
        <w:t xml:space="preserve"> § 159 lg 2). Määruskaebuse menetlemine järgib kohtusüsteemi ülesehitust. TVK-s sellist kaebemehhanismi ei ole. TVK puhul puudub järgmine aste, mis saaks kontrollida TVK menetluslike määruste õigsust. Oleks ebaotstarbekas viia tervisekahjude üle otsustamine TVK-</w:t>
      </w:r>
      <w:proofErr w:type="spellStart"/>
      <w:r w:rsidRPr="00751772">
        <w:rPr>
          <w:szCs w:val="24"/>
        </w:rPr>
        <w:t>sse</w:t>
      </w:r>
      <w:proofErr w:type="spellEnd"/>
      <w:r w:rsidRPr="00751772">
        <w:rPr>
          <w:szCs w:val="24"/>
        </w:rPr>
        <w:t xml:space="preserve"> ja anda TVK-</w:t>
      </w:r>
      <w:proofErr w:type="spellStart"/>
      <w:r w:rsidRPr="00751772">
        <w:rPr>
          <w:szCs w:val="24"/>
        </w:rPr>
        <w:t>le</w:t>
      </w:r>
      <w:proofErr w:type="spellEnd"/>
      <w:r w:rsidRPr="00751772">
        <w:rPr>
          <w:szCs w:val="24"/>
        </w:rPr>
        <w:t xml:space="preserve"> pädevus määrata ekspertiise, kuid suunata TVK menetluslike küsimuste peale edasikaebamine kohtusse. See suurendaks muu hulgas kohtute töökoormust, mis on praegu juba kriitiline. </w:t>
      </w:r>
    </w:p>
    <w:p w14:paraId="523659DB" w14:textId="77777777" w:rsidR="00751772" w:rsidRPr="00751772" w:rsidRDefault="00751772" w:rsidP="00751772">
      <w:pPr>
        <w:widowControl/>
        <w:numPr>
          <w:ilvl w:val="0"/>
          <w:numId w:val="36"/>
        </w:numPr>
        <w:tabs>
          <w:tab w:val="clear" w:pos="360"/>
          <w:tab w:val="num" w:pos="720"/>
        </w:tabs>
        <w:suppressAutoHyphens w:val="0"/>
        <w:spacing w:after="160"/>
        <w:jc w:val="both"/>
        <w:rPr>
          <w:szCs w:val="24"/>
        </w:rPr>
      </w:pPr>
      <w:r w:rsidRPr="00751772">
        <w:rPr>
          <w:szCs w:val="24"/>
        </w:rPr>
        <w:t>Erinevalt kohtust (</w:t>
      </w:r>
      <w:proofErr w:type="spellStart"/>
      <w:r w:rsidRPr="00751772">
        <w:rPr>
          <w:szCs w:val="24"/>
        </w:rPr>
        <w:t>TsMS</w:t>
      </w:r>
      <w:proofErr w:type="spellEnd"/>
      <w:r w:rsidRPr="00751772">
        <w:rPr>
          <w:szCs w:val="24"/>
        </w:rPr>
        <w:t xml:space="preserve"> § 148 lg 1) puudub TVK-l võimalus teha poolele kohustuslikuks kulude ettetasumist deposiitkontole. Kui TVK-</w:t>
      </w:r>
      <w:proofErr w:type="spellStart"/>
      <w:r w:rsidRPr="00751772">
        <w:rPr>
          <w:szCs w:val="24"/>
        </w:rPr>
        <w:t>le</w:t>
      </w:r>
      <w:proofErr w:type="spellEnd"/>
      <w:r w:rsidRPr="00751772">
        <w:rPr>
          <w:szCs w:val="24"/>
        </w:rPr>
        <w:t xml:space="preserve"> taoline õigus antaks, kaasneks sellega samasugune probleem adekvaatse edasikaebemehhanismi puudumise näol, nagu tõime ülal esile eksperditasu määramise või määramata jätmise vaidlustamise kohta.</w:t>
      </w:r>
    </w:p>
    <w:p w14:paraId="0A21FFCD" w14:textId="77777777" w:rsidR="00751772" w:rsidRDefault="00751772" w:rsidP="00751772">
      <w:pPr>
        <w:jc w:val="both"/>
        <w:rPr>
          <w:szCs w:val="24"/>
        </w:rPr>
      </w:pPr>
      <w:r w:rsidRPr="00751772">
        <w:rPr>
          <w:szCs w:val="24"/>
        </w:rPr>
        <w:t xml:space="preserve">Lisaks ei saa alahinnata seda, et tervisekahju hüvitamise nõuete üle otsustamisel esineb vajadus kohaldada õigusnorme, mille tundmist töövaidluskomisjoni juhatajalt ega liikmetelt ei nõuta. Tervise kahjustamisest lähtuva vaidluse lahendajal tuleb kohaldada erinevaid õigusakte ja </w:t>
      </w:r>
      <w:r w:rsidRPr="00751772">
        <w:rPr>
          <w:szCs w:val="24"/>
        </w:rPr>
        <w:lastRenderedPageBreak/>
        <w:t xml:space="preserve">lahendada keerulisi õiguslikke küsimusi väljaspool tööõigust, nt küsimusi tagajärje ettenähtavusest, põhjuslikust seosest, kannatanu enda käitumise võimalikust mõjust ja selle tähendusest hüvitiskohustuse tekkimisele ning ulatusele, kahjunõude tekkimise üldiste eelduste täidetusest, mittevaralise kahju hindamisest jne. Tervisekahju hüvitamist taotlev isik võib muu hulgas valida nõude esitamiseks lepinguvälise aluse (VÕS § 1044 lg 3) ja sel juhul on vajalik nõude kontrollimine ka deliktiõiguse alusel. Vastavalt </w:t>
      </w:r>
      <w:proofErr w:type="spellStart"/>
      <w:r w:rsidRPr="00751772">
        <w:rPr>
          <w:szCs w:val="24"/>
        </w:rPr>
        <w:t>TvLS</w:t>
      </w:r>
      <w:proofErr w:type="spellEnd"/>
      <w:r w:rsidRPr="00751772">
        <w:rPr>
          <w:szCs w:val="24"/>
        </w:rPr>
        <w:t xml:space="preserve"> § 7 lg 2 p-le 2 nõutakse töövaidluskomisjoni juhatajalt tööõiguse ja töövaidluse menetluse tundmist, kuid ei nõuta põhjalikke teadmisi kogu võlaõigusest, sh deliktiõigusest. Seega ei võimalda töövaidluskomisjoni juhatajate praegune ettevalmistus ja kogemused tööõnnetusest, kutsehaigusest või tööga seotud haigestumisest tingitud vaidlusi õigesti ja õiglaselt lahendada. </w:t>
      </w:r>
    </w:p>
    <w:p w14:paraId="1E9F50DB" w14:textId="77777777" w:rsidR="00DD38E3" w:rsidRPr="00751772" w:rsidRDefault="00DD38E3" w:rsidP="00751772">
      <w:pPr>
        <w:jc w:val="both"/>
        <w:rPr>
          <w:szCs w:val="24"/>
        </w:rPr>
      </w:pPr>
    </w:p>
    <w:p w14:paraId="3CB8DBD6" w14:textId="47B3DC57" w:rsidR="00751772" w:rsidRDefault="00DD38E3" w:rsidP="00751772">
      <w:pPr>
        <w:jc w:val="both"/>
        <w:rPr>
          <w:szCs w:val="24"/>
        </w:rPr>
      </w:pPr>
      <w:r>
        <w:rPr>
          <w:szCs w:val="24"/>
        </w:rPr>
        <w:t>O</w:t>
      </w:r>
      <w:r w:rsidR="00751772" w:rsidRPr="00751772">
        <w:rPr>
          <w:szCs w:val="24"/>
        </w:rPr>
        <w:t>n põhjendatud säilitada kutsehaiguste, tööõnnetuste ning tööst põhjustatud haigustega kaasneva kahju hüvitamise vaidluste praegune lahendamise kord, s.t vaidlused kuuluvad lahendamisele kohtus. Ekslik on VTK-s toodud põhjendus, nagu võiks kohtuvaidluses juhtuda, et töötaja nõue aegub liiga pika menetluse tõttu ja nõuet ei õnnestunud realiseerida töötajast mitte tulenevatel põhjustel (VTK lk 5-6). Tsiviilasja aegumine peatub hagi esitamisega (</w:t>
      </w:r>
      <w:proofErr w:type="spellStart"/>
      <w:r w:rsidR="00751772" w:rsidRPr="00751772">
        <w:rPr>
          <w:szCs w:val="24"/>
        </w:rPr>
        <w:t>TsÜS</w:t>
      </w:r>
      <w:proofErr w:type="spellEnd"/>
      <w:r w:rsidR="00751772" w:rsidRPr="00751772">
        <w:rPr>
          <w:szCs w:val="24"/>
        </w:rPr>
        <w:t xml:space="preserve"> § 160 lg 1). Seega pikk menetlusaeg, nii nagu igasugustes vaidlustes, võib pooli väsitada, kuid sellega ei kaasne hagejale (tööõnnetuse ja kutsehaiguse asjadest töötajale või tema pärijale) nõude kaotamist. Menetlusaja probleem tuleb lahendada kohtusüsteemi siseselt ja vajadusel kohtutele antava ressursi suurendamise teel. </w:t>
      </w:r>
    </w:p>
    <w:p w14:paraId="0237987B" w14:textId="77777777" w:rsidR="00DD38E3" w:rsidRPr="00751772" w:rsidRDefault="00DD38E3" w:rsidP="00751772">
      <w:pPr>
        <w:jc w:val="both"/>
        <w:rPr>
          <w:szCs w:val="24"/>
        </w:rPr>
      </w:pPr>
    </w:p>
    <w:p w14:paraId="1AD66BF9" w14:textId="62D4450D" w:rsidR="00751772" w:rsidRPr="00751772" w:rsidRDefault="00751772" w:rsidP="00751772">
      <w:pPr>
        <w:jc w:val="both"/>
        <w:rPr>
          <w:szCs w:val="24"/>
        </w:rPr>
      </w:pPr>
      <w:r w:rsidRPr="00751772">
        <w:rPr>
          <w:szCs w:val="24"/>
        </w:rPr>
        <w:t xml:space="preserve">Lõpetuseks </w:t>
      </w:r>
      <w:r w:rsidR="00DD38E3">
        <w:rPr>
          <w:szCs w:val="24"/>
        </w:rPr>
        <w:t xml:space="preserve">juhime tähelepanu </w:t>
      </w:r>
      <w:r w:rsidRPr="00751772">
        <w:rPr>
          <w:szCs w:val="24"/>
        </w:rPr>
        <w:t>Riigikohtu poolt esile toodud PS § 146 riivele, mis kaasneb vaidluste lahendamisega TVK-s</w:t>
      </w:r>
      <w:r w:rsidR="007A3049">
        <w:rPr>
          <w:rStyle w:val="FootnoteReference"/>
          <w:szCs w:val="24"/>
        </w:rPr>
        <w:footnoteReference w:id="1"/>
      </w:r>
      <w:r w:rsidRPr="00751772">
        <w:rPr>
          <w:szCs w:val="24"/>
        </w:rPr>
        <w:t>. Selles valguses ei ole põhjendatud laiendada TVK pädevust vaidluse liikide osas ega luua TVK-</w:t>
      </w:r>
      <w:proofErr w:type="spellStart"/>
      <w:r w:rsidRPr="00751772">
        <w:rPr>
          <w:szCs w:val="24"/>
        </w:rPr>
        <w:t>le</w:t>
      </w:r>
      <w:proofErr w:type="spellEnd"/>
      <w:r w:rsidRPr="00751772">
        <w:rPr>
          <w:szCs w:val="24"/>
        </w:rPr>
        <w:t xml:space="preserve"> </w:t>
      </w:r>
      <w:proofErr w:type="spellStart"/>
      <w:r w:rsidRPr="00751772">
        <w:rPr>
          <w:szCs w:val="24"/>
        </w:rPr>
        <w:t>menetluslikke</w:t>
      </w:r>
      <w:proofErr w:type="spellEnd"/>
      <w:r w:rsidRPr="00751772">
        <w:rPr>
          <w:szCs w:val="24"/>
        </w:rPr>
        <w:t xml:space="preserve"> pädevusi, mille üle puudub asjakohane edasikaebe- ja kontrollimehhanism tulenevalt TVK paiknemisest väljaspool kohtusüsteemi.</w:t>
      </w:r>
      <w:r w:rsidR="00C14C8E">
        <w:rPr>
          <w:szCs w:val="24"/>
        </w:rPr>
        <w:t xml:space="preserve"> </w:t>
      </w:r>
    </w:p>
    <w:p w14:paraId="2EF8F105" w14:textId="77777777" w:rsidR="00751772" w:rsidRPr="00751772" w:rsidRDefault="00751772" w:rsidP="00751772">
      <w:pPr>
        <w:jc w:val="both"/>
        <w:rPr>
          <w:szCs w:val="24"/>
        </w:rPr>
      </w:pPr>
    </w:p>
    <w:p w14:paraId="2773DF64" w14:textId="77777777" w:rsidR="00FD35E7" w:rsidRDefault="00FD35E7" w:rsidP="00B36B70">
      <w:pPr>
        <w:jc w:val="both"/>
        <w:rPr>
          <w:szCs w:val="24"/>
        </w:rPr>
      </w:pPr>
    </w:p>
    <w:p w14:paraId="413A7162" w14:textId="77777777" w:rsidR="00BF5592" w:rsidRPr="005412D3" w:rsidRDefault="00BF5592" w:rsidP="00B36B70">
      <w:pPr>
        <w:jc w:val="both"/>
        <w:rPr>
          <w:szCs w:val="24"/>
        </w:rPr>
      </w:pPr>
    </w:p>
    <w:p w14:paraId="3631D076" w14:textId="77777777" w:rsidR="00936CA5" w:rsidRPr="005412D3" w:rsidRDefault="00936CA5" w:rsidP="00B36B70">
      <w:pPr>
        <w:jc w:val="both"/>
        <w:rPr>
          <w:szCs w:val="24"/>
        </w:rPr>
      </w:pPr>
    </w:p>
    <w:p w14:paraId="3894BA9D" w14:textId="77777777" w:rsidR="0019780D" w:rsidRPr="005412D3" w:rsidRDefault="0019780D" w:rsidP="00B36B70">
      <w:pPr>
        <w:jc w:val="both"/>
        <w:rPr>
          <w:b/>
          <w:bCs/>
          <w:szCs w:val="24"/>
        </w:rPr>
      </w:pPr>
      <w:r w:rsidRPr="005412D3">
        <w:rPr>
          <w:szCs w:val="24"/>
        </w:rPr>
        <w:t>Lugupidamisega</w:t>
      </w:r>
    </w:p>
    <w:p w14:paraId="3CC7F4BF" w14:textId="77777777" w:rsidR="0019780D" w:rsidRPr="005412D3" w:rsidRDefault="0019780D" w:rsidP="00B36B70">
      <w:pPr>
        <w:pStyle w:val="Body"/>
        <w:jc w:val="both"/>
        <w:rPr>
          <w:rFonts w:cs="Times New Roman"/>
          <w:i/>
          <w:iCs/>
        </w:rPr>
      </w:pPr>
    </w:p>
    <w:p w14:paraId="5E0529D0" w14:textId="77777777" w:rsidR="0019780D" w:rsidRPr="005412D3" w:rsidRDefault="0019780D" w:rsidP="00B36B70">
      <w:pPr>
        <w:pStyle w:val="Body"/>
        <w:jc w:val="both"/>
        <w:rPr>
          <w:rFonts w:cs="Times New Roman"/>
          <w:i/>
          <w:iCs/>
        </w:rPr>
      </w:pPr>
      <w:r w:rsidRPr="005412D3">
        <w:rPr>
          <w:rFonts w:cs="Times New Roman"/>
          <w:i/>
          <w:iCs/>
        </w:rPr>
        <w:t>allkirjastatud digitaalselt</w:t>
      </w:r>
    </w:p>
    <w:p w14:paraId="0721F605" w14:textId="77777777" w:rsidR="0019780D" w:rsidRPr="005412D3" w:rsidRDefault="0019780D" w:rsidP="00B36B70">
      <w:pPr>
        <w:pStyle w:val="Body"/>
        <w:jc w:val="both"/>
        <w:rPr>
          <w:rFonts w:cs="Times New Roman"/>
        </w:rPr>
      </w:pPr>
    </w:p>
    <w:p w14:paraId="3CE7CF0B" w14:textId="77777777" w:rsidR="0019780D" w:rsidRPr="005412D3" w:rsidRDefault="0019780D" w:rsidP="00B36B70">
      <w:pPr>
        <w:pStyle w:val="Body"/>
        <w:jc w:val="both"/>
        <w:rPr>
          <w:rFonts w:cs="Times New Roman"/>
        </w:rPr>
      </w:pPr>
      <w:r w:rsidRPr="005412D3">
        <w:rPr>
          <w:rFonts w:cs="Times New Roman"/>
        </w:rPr>
        <w:t>Imbi Jürgen</w:t>
      </w:r>
    </w:p>
    <w:p w14:paraId="23FEBFCD" w14:textId="77777777" w:rsidR="0019780D" w:rsidRPr="005412D3" w:rsidRDefault="0019780D" w:rsidP="00B36B70">
      <w:pPr>
        <w:pStyle w:val="Body"/>
        <w:jc w:val="both"/>
        <w:rPr>
          <w:rFonts w:cs="Times New Roman"/>
        </w:rPr>
      </w:pPr>
      <w:r w:rsidRPr="005412D3">
        <w:rPr>
          <w:rFonts w:cs="Times New Roman"/>
        </w:rPr>
        <w:t>Esimees</w:t>
      </w:r>
    </w:p>
    <w:p w14:paraId="0A20B27E" w14:textId="77777777" w:rsidR="0060121B" w:rsidRPr="005412D3" w:rsidRDefault="0060121B" w:rsidP="00B36B70">
      <w:pPr>
        <w:pStyle w:val="Body"/>
        <w:jc w:val="both"/>
        <w:rPr>
          <w:rFonts w:cs="Times New Roman"/>
        </w:rPr>
      </w:pPr>
    </w:p>
    <w:p w14:paraId="3874A4C8" w14:textId="77777777" w:rsidR="005613ED" w:rsidRPr="005412D3" w:rsidRDefault="005613ED" w:rsidP="00B36B70">
      <w:pPr>
        <w:pStyle w:val="Body"/>
        <w:jc w:val="both"/>
        <w:rPr>
          <w:rFonts w:cs="Times New Roman"/>
        </w:rPr>
      </w:pPr>
    </w:p>
    <w:p w14:paraId="1FC473E4" w14:textId="77777777" w:rsidR="005613ED" w:rsidRPr="005412D3" w:rsidRDefault="005613ED" w:rsidP="00B36B70">
      <w:pPr>
        <w:pStyle w:val="Body"/>
        <w:jc w:val="both"/>
        <w:rPr>
          <w:rFonts w:cs="Times New Roman"/>
        </w:rPr>
      </w:pPr>
    </w:p>
    <w:p w14:paraId="7F10D70A" w14:textId="77777777" w:rsidR="0019780D" w:rsidRPr="005412D3" w:rsidRDefault="0019780D" w:rsidP="00B36B70">
      <w:pPr>
        <w:pStyle w:val="Body"/>
        <w:jc w:val="both"/>
        <w:rPr>
          <w:rFonts w:cs="Times New Roman"/>
        </w:rPr>
      </w:pPr>
    </w:p>
    <w:p w14:paraId="52EB6B55" w14:textId="77777777" w:rsidR="002055A5" w:rsidRPr="005412D3" w:rsidRDefault="002055A5" w:rsidP="00B36B70">
      <w:pPr>
        <w:pStyle w:val="Body"/>
        <w:jc w:val="both"/>
        <w:rPr>
          <w:rFonts w:cs="Times New Roman"/>
        </w:rPr>
      </w:pPr>
    </w:p>
    <w:p w14:paraId="441683FB" w14:textId="77777777" w:rsidR="0019780D" w:rsidRPr="005412D3" w:rsidRDefault="0019780D" w:rsidP="00B36B70">
      <w:pPr>
        <w:pStyle w:val="Body"/>
        <w:jc w:val="both"/>
        <w:rPr>
          <w:rFonts w:cs="Times New Roman"/>
        </w:rPr>
      </w:pPr>
      <w:r w:rsidRPr="005412D3">
        <w:rPr>
          <w:rFonts w:cs="Times New Roman"/>
        </w:rPr>
        <w:t>Merit Aavekukk-Tamm 6979 253</w:t>
      </w:r>
    </w:p>
    <w:p w14:paraId="2ED21D02" w14:textId="77777777" w:rsidR="0019780D" w:rsidRPr="005412D3" w:rsidRDefault="0019780D" w:rsidP="00B36B70">
      <w:pPr>
        <w:pStyle w:val="Body"/>
        <w:jc w:val="both"/>
        <w:rPr>
          <w:rFonts w:cs="Times New Roman"/>
        </w:rPr>
      </w:pPr>
      <w:r w:rsidRPr="005412D3">
        <w:rPr>
          <w:rFonts w:cs="Times New Roman"/>
        </w:rPr>
        <w:t>merit.aavekukk-tamm@advokatuur.ee</w:t>
      </w:r>
    </w:p>
    <w:p w14:paraId="09DF826D" w14:textId="77777777" w:rsidR="007C1294" w:rsidRPr="005412D3" w:rsidRDefault="007C1294" w:rsidP="00B36B70">
      <w:pPr>
        <w:widowControl/>
        <w:suppressAutoHyphens w:val="0"/>
        <w:spacing w:after="200"/>
        <w:jc w:val="both"/>
        <w:rPr>
          <w:szCs w:val="24"/>
        </w:rPr>
      </w:pPr>
    </w:p>
    <w:sectPr w:rsidR="007C1294" w:rsidRPr="005412D3" w:rsidSect="009750DC">
      <w:footerReference w:type="default" r:id="rId8"/>
      <w:headerReference w:type="first" r:id="rId9"/>
      <w:footerReference w:type="first" r:id="rId10"/>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35C3" w14:textId="77777777" w:rsidR="0052193B" w:rsidRDefault="0052193B" w:rsidP="00F636B5">
      <w:r>
        <w:separator/>
      </w:r>
    </w:p>
  </w:endnote>
  <w:endnote w:type="continuationSeparator" w:id="0">
    <w:p w14:paraId="652623BC" w14:textId="77777777" w:rsidR="0052193B" w:rsidRDefault="0052193B"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End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proofErr w:type="spellStart"/>
    <w:r w:rsidRPr="008A5914">
      <w:rPr>
        <w:rFonts w:ascii="Times New Roman" w:hAnsi="Times New Roman" w:cs="Times New Roman"/>
        <w:sz w:val="24"/>
        <w:szCs w:val="24"/>
      </w:rPr>
      <w:t>Reg</w:t>
    </w:r>
    <w:proofErr w:type="spellEnd"/>
    <w:r w:rsidRPr="008A5914">
      <w:rPr>
        <w:rFonts w:ascii="Times New Roman" w:hAnsi="Times New Roman" w:cs="Times New Roman"/>
        <w:sz w:val="24"/>
        <w:szCs w:val="24"/>
      </w:rPr>
      <w:t xml:space="preserve">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3E564" w14:textId="77777777" w:rsidR="0052193B" w:rsidRDefault="0052193B" w:rsidP="00F636B5">
      <w:r>
        <w:separator/>
      </w:r>
    </w:p>
  </w:footnote>
  <w:footnote w:type="continuationSeparator" w:id="0">
    <w:p w14:paraId="66438DFA" w14:textId="77777777" w:rsidR="0052193B" w:rsidRDefault="0052193B" w:rsidP="00F636B5">
      <w:r>
        <w:continuationSeparator/>
      </w:r>
    </w:p>
  </w:footnote>
  <w:footnote w:id="1">
    <w:p w14:paraId="19A8C85F" w14:textId="4E3068B2" w:rsidR="007A3049" w:rsidRDefault="007A3049" w:rsidP="00087FE1">
      <w:pPr>
        <w:pStyle w:val="FootnoteText"/>
      </w:pPr>
      <w:r>
        <w:rPr>
          <w:rStyle w:val="FootnoteReference"/>
        </w:rPr>
        <w:footnoteRef/>
      </w:r>
      <w:r>
        <w:t xml:space="preserve"> Riigikohtu </w:t>
      </w:r>
      <w:r w:rsidR="00FD41A6">
        <w:t xml:space="preserve">18.11.2025 seisukoht </w:t>
      </w:r>
      <w:proofErr w:type="spellStart"/>
      <w:r w:rsidR="00FD41A6">
        <w:t>TvLS</w:t>
      </w:r>
      <w:proofErr w:type="spellEnd"/>
      <w:r w:rsidR="00FD41A6">
        <w:t xml:space="preserve"> jt seaduste muutmise </w:t>
      </w:r>
      <w:r w:rsidR="002C4FA2">
        <w:t xml:space="preserve">seaduse eelnõu kohta, kättesaadav: </w:t>
      </w:r>
      <w:hyperlink r:id="rId1" w:history="1">
        <w:r w:rsidR="002C4FA2" w:rsidRPr="009F59CC">
          <w:rPr>
            <w:rStyle w:val="Hyperlink"/>
          </w:rPr>
          <w:t>https://adr.rik.ee/riigikohus/dokument/18152257</w:t>
        </w:r>
      </w:hyperlink>
      <w:r w:rsidR="00280469">
        <w:t xml:space="preserve">; </w:t>
      </w:r>
      <w:r w:rsidR="003E2874">
        <w:t xml:space="preserve">Riigikohtu 28.01.2026 seisukoht </w:t>
      </w:r>
      <w:proofErr w:type="spellStart"/>
      <w:r w:rsidR="003E2874">
        <w:t>TvLS</w:t>
      </w:r>
      <w:proofErr w:type="spellEnd"/>
      <w:r w:rsidR="003E2874">
        <w:t xml:space="preserve"> VTK osas, kättesaadav: </w:t>
      </w:r>
      <w:hyperlink r:id="rId2" w:history="1">
        <w:r w:rsidR="003E2874" w:rsidRPr="009F59CC">
          <w:rPr>
            <w:rStyle w:val="Hyperlink"/>
          </w:rPr>
          <w:t>https://adr.rik.ee/riigikohus/dokument/18345754</w:t>
        </w:r>
      </w:hyperlink>
      <w:r w:rsidR="003E287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A57918"/>
    <w:multiLevelType w:val="multilevel"/>
    <w:tmpl w:val="E1565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7D40FE0"/>
    <w:multiLevelType w:val="multilevel"/>
    <w:tmpl w:val="5B5C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6C66403"/>
    <w:multiLevelType w:val="hybridMultilevel"/>
    <w:tmpl w:val="B96042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25C6327"/>
    <w:multiLevelType w:val="multilevel"/>
    <w:tmpl w:val="2AEC14D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D566965"/>
    <w:multiLevelType w:val="multilevel"/>
    <w:tmpl w:val="0F44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B57014"/>
    <w:multiLevelType w:val="hybridMultilevel"/>
    <w:tmpl w:val="DD467B4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0B65160"/>
    <w:multiLevelType w:val="multilevel"/>
    <w:tmpl w:val="18409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E46E9D"/>
    <w:multiLevelType w:val="multilevel"/>
    <w:tmpl w:val="89E0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706ADD"/>
    <w:multiLevelType w:val="hybridMultilevel"/>
    <w:tmpl w:val="AB1E4EAE"/>
    <w:lvl w:ilvl="0" w:tplc="C86C7114">
      <w:start w:val="5"/>
      <w:numFmt w:val="bullet"/>
      <w:lvlText w:val="-"/>
      <w:lvlJc w:val="left"/>
      <w:pPr>
        <w:ind w:left="480" w:hanging="360"/>
      </w:pPr>
      <w:rPr>
        <w:rFonts w:ascii="Times New Roman" w:eastAsia="HG Mincho Light J" w:hAnsi="Times New Roman" w:cs="Times New Roman" w:hint="default"/>
      </w:rPr>
    </w:lvl>
    <w:lvl w:ilvl="1" w:tplc="04250003" w:tentative="1">
      <w:start w:val="1"/>
      <w:numFmt w:val="bullet"/>
      <w:lvlText w:val="o"/>
      <w:lvlJc w:val="left"/>
      <w:pPr>
        <w:ind w:left="1200" w:hanging="360"/>
      </w:pPr>
      <w:rPr>
        <w:rFonts w:ascii="Courier New" w:hAnsi="Courier New" w:cs="Courier New" w:hint="default"/>
      </w:rPr>
    </w:lvl>
    <w:lvl w:ilvl="2" w:tplc="04250005" w:tentative="1">
      <w:start w:val="1"/>
      <w:numFmt w:val="bullet"/>
      <w:lvlText w:val=""/>
      <w:lvlJc w:val="left"/>
      <w:pPr>
        <w:ind w:left="1920" w:hanging="360"/>
      </w:pPr>
      <w:rPr>
        <w:rFonts w:ascii="Wingdings" w:hAnsi="Wingdings" w:hint="default"/>
      </w:rPr>
    </w:lvl>
    <w:lvl w:ilvl="3" w:tplc="04250001" w:tentative="1">
      <w:start w:val="1"/>
      <w:numFmt w:val="bullet"/>
      <w:lvlText w:val=""/>
      <w:lvlJc w:val="left"/>
      <w:pPr>
        <w:ind w:left="2640" w:hanging="360"/>
      </w:pPr>
      <w:rPr>
        <w:rFonts w:ascii="Symbol" w:hAnsi="Symbol" w:hint="default"/>
      </w:rPr>
    </w:lvl>
    <w:lvl w:ilvl="4" w:tplc="04250003" w:tentative="1">
      <w:start w:val="1"/>
      <w:numFmt w:val="bullet"/>
      <w:lvlText w:val="o"/>
      <w:lvlJc w:val="left"/>
      <w:pPr>
        <w:ind w:left="3360" w:hanging="360"/>
      </w:pPr>
      <w:rPr>
        <w:rFonts w:ascii="Courier New" w:hAnsi="Courier New" w:cs="Courier New" w:hint="default"/>
      </w:rPr>
    </w:lvl>
    <w:lvl w:ilvl="5" w:tplc="04250005" w:tentative="1">
      <w:start w:val="1"/>
      <w:numFmt w:val="bullet"/>
      <w:lvlText w:val=""/>
      <w:lvlJc w:val="left"/>
      <w:pPr>
        <w:ind w:left="4080" w:hanging="360"/>
      </w:pPr>
      <w:rPr>
        <w:rFonts w:ascii="Wingdings" w:hAnsi="Wingdings" w:hint="default"/>
      </w:rPr>
    </w:lvl>
    <w:lvl w:ilvl="6" w:tplc="04250001" w:tentative="1">
      <w:start w:val="1"/>
      <w:numFmt w:val="bullet"/>
      <w:lvlText w:val=""/>
      <w:lvlJc w:val="left"/>
      <w:pPr>
        <w:ind w:left="4800" w:hanging="360"/>
      </w:pPr>
      <w:rPr>
        <w:rFonts w:ascii="Symbol" w:hAnsi="Symbol" w:hint="default"/>
      </w:rPr>
    </w:lvl>
    <w:lvl w:ilvl="7" w:tplc="04250003" w:tentative="1">
      <w:start w:val="1"/>
      <w:numFmt w:val="bullet"/>
      <w:lvlText w:val="o"/>
      <w:lvlJc w:val="left"/>
      <w:pPr>
        <w:ind w:left="5520" w:hanging="360"/>
      </w:pPr>
      <w:rPr>
        <w:rFonts w:ascii="Courier New" w:hAnsi="Courier New" w:cs="Courier New" w:hint="default"/>
      </w:rPr>
    </w:lvl>
    <w:lvl w:ilvl="8" w:tplc="04250005" w:tentative="1">
      <w:start w:val="1"/>
      <w:numFmt w:val="bullet"/>
      <w:lvlText w:val=""/>
      <w:lvlJc w:val="left"/>
      <w:pPr>
        <w:ind w:left="6240" w:hanging="360"/>
      </w:pPr>
      <w:rPr>
        <w:rFonts w:ascii="Wingdings" w:hAnsi="Wingdings" w:hint="default"/>
      </w:rPr>
    </w:lvl>
  </w:abstractNum>
  <w:abstractNum w:abstractNumId="20"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6F90FDC"/>
    <w:multiLevelType w:val="multilevel"/>
    <w:tmpl w:val="46AC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17423"/>
    <w:multiLevelType w:val="multilevel"/>
    <w:tmpl w:val="8A2E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071611"/>
    <w:multiLevelType w:val="multilevel"/>
    <w:tmpl w:val="8BE4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9C5DE6"/>
    <w:multiLevelType w:val="multilevel"/>
    <w:tmpl w:val="2AD2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4EA5C0E"/>
    <w:multiLevelType w:val="multilevel"/>
    <w:tmpl w:val="B6240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6535D0E"/>
    <w:multiLevelType w:val="multilevel"/>
    <w:tmpl w:val="6A68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74357"/>
    <w:multiLevelType w:val="multilevel"/>
    <w:tmpl w:val="48A2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5E53466"/>
    <w:multiLevelType w:val="hybridMultilevel"/>
    <w:tmpl w:val="B9604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F513B2"/>
    <w:multiLevelType w:val="hybridMultilevel"/>
    <w:tmpl w:val="F5A08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F581ACF"/>
    <w:multiLevelType w:val="multilevel"/>
    <w:tmpl w:val="6B4E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3768504">
    <w:abstractNumId w:val="13"/>
  </w:num>
  <w:num w:numId="2" w16cid:durableId="1646662979">
    <w:abstractNumId w:val="6"/>
  </w:num>
  <w:num w:numId="3" w16cid:durableId="670370934">
    <w:abstractNumId w:val="20"/>
  </w:num>
  <w:num w:numId="4" w16cid:durableId="268205002">
    <w:abstractNumId w:val="32"/>
  </w:num>
  <w:num w:numId="5" w16cid:durableId="110756145">
    <w:abstractNumId w:val="28"/>
  </w:num>
  <w:num w:numId="6" w16cid:durableId="1722634604">
    <w:abstractNumId w:val="27"/>
  </w:num>
  <w:num w:numId="7" w16cid:durableId="1745568620">
    <w:abstractNumId w:val="31"/>
  </w:num>
  <w:num w:numId="8" w16cid:durableId="771054327">
    <w:abstractNumId w:val="10"/>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6"/>
  </w:num>
  <w:num w:numId="16" w16cid:durableId="1725255570">
    <w:abstractNumId w:val="25"/>
  </w:num>
  <w:num w:numId="17" w16cid:durableId="1052652794">
    <w:abstractNumId w:val="9"/>
  </w:num>
  <w:num w:numId="18" w16cid:durableId="21377925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5269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5484778">
    <w:abstractNumId w:val="23"/>
  </w:num>
  <w:num w:numId="21" w16cid:durableId="146286569">
    <w:abstractNumId w:val="22"/>
  </w:num>
  <w:num w:numId="22" w16cid:durableId="289363665">
    <w:abstractNumId w:val="18"/>
  </w:num>
  <w:num w:numId="23" w16cid:durableId="586695108">
    <w:abstractNumId w:val="29"/>
  </w:num>
  <w:num w:numId="24" w16cid:durableId="1622954999">
    <w:abstractNumId w:val="19"/>
  </w:num>
  <w:num w:numId="25" w16cid:durableId="1430933698">
    <w:abstractNumId w:val="17"/>
  </w:num>
  <w:num w:numId="26" w16cid:durableId="743375205">
    <w:abstractNumId w:val="30"/>
  </w:num>
  <w:num w:numId="27" w16cid:durableId="474301826">
    <w:abstractNumId w:val="14"/>
  </w:num>
  <w:num w:numId="28" w16cid:durableId="1447578363">
    <w:abstractNumId w:val="21"/>
  </w:num>
  <w:num w:numId="29" w16cid:durableId="1630741935">
    <w:abstractNumId w:val="8"/>
  </w:num>
  <w:num w:numId="30" w16cid:durableId="1003244777">
    <w:abstractNumId w:val="26"/>
  </w:num>
  <w:num w:numId="31" w16cid:durableId="1500732251">
    <w:abstractNumId w:val="24"/>
  </w:num>
  <w:num w:numId="32" w16cid:durableId="1970427818">
    <w:abstractNumId w:val="35"/>
  </w:num>
  <w:num w:numId="33" w16cid:durableId="1260257380">
    <w:abstractNumId w:val="15"/>
  </w:num>
  <w:num w:numId="34" w16cid:durableId="39863156">
    <w:abstractNumId w:val="11"/>
  </w:num>
  <w:num w:numId="35" w16cid:durableId="1991784547">
    <w:abstractNumId w:val="33"/>
  </w:num>
  <w:num w:numId="36" w16cid:durableId="1330013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3A0"/>
    <w:rsid w:val="00010568"/>
    <w:rsid w:val="00010753"/>
    <w:rsid w:val="0001133E"/>
    <w:rsid w:val="00013EA5"/>
    <w:rsid w:val="0001444F"/>
    <w:rsid w:val="00016530"/>
    <w:rsid w:val="00016C21"/>
    <w:rsid w:val="00017824"/>
    <w:rsid w:val="00020876"/>
    <w:rsid w:val="00023C71"/>
    <w:rsid w:val="000303B7"/>
    <w:rsid w:val="00030C84"/>
    <w:rsid w:val="00030F93"/>
    <w:rsid w:val="00033D90"/>
    <w:rsid w:val="00034835"/>
    <w:rsid w:val="000359CD"/>
    <w:rsid w:val="00041C25"/>
    <w:rsid w:val="00042198"/>
    <w:rsid w:val="00044487"/>
    <w:rsid w:val="00047342"/>
    <w:rsid w:val="0004779E"/>
    <w:rsid w:val="0004781A"/>
    <w:rsid w:val="00050F9E"/>
    <w:rsid w:val="000524EB"/>
    <w:rsid w:val="0005264B"/>
    <w:rsid w:val="00055AD5"/>
    <w:rsid w:val="00055BB1"/>
    <w:rsid w:val="00056711"/>
    <w:rsid w:val="00066222"/>
    <w:rsid w:val="000724B6"/>
    <w:rsid w:val="00073E0B"/>
    <w:rsid w:val="00077EBD"/>
    <w:rsid w:val="00081B6C"/>
    <w:rsid w:val="00082DDA"/>
    <w:rsid w:val="00084202"/>
    <w:rsid w:val="00087FE1"/>
    <w:rsid w:val="00090006"/>
    <w:rsid w:val="00093B41"/>
    <w:rsid w:val="00095AD0"/>
    <w:rsid w:val="00096371"/>
    <w:rsid w:val="000A4FD0"/>
    <w:rsid w:val="000A6F58"/>
    <w:rsid w:val="000B0B71"/>
    <w:rsid w:val="000B28D5"/>
    <w:rsid w:val="000B3492"/>
    <w:rsid w:val="000B70CB"/>
    <w:rsid w:val="000B7AD8"/>
    <w:rsid w:val="000C01AA"/>
    <w:rsid w:val="000C07F6"/>
    <w:rsid w:val="000C0A09"/>
    <w:rsid w:val="000C10EB"/>
    <w:rsid w:val="000C40DD"/>
    <w:rsid w:val="000C43DB"/>
    <w:rsid w:val="000C54F1"/>
    <w:rsid w:val="000C75B3"/>
    <w:rsid w:val="000D0A80"/>
    <w:rsid w:val="000D6865"/>
    <w:rsid w:val="000D79DE"/>
    <w:rsid w:val="000E2E3A"/>
    <w:rsid w:val="000E52B9"/>
    <w:rsid w:val="000E65B7"/>
    <w:rsid w:val="000E6C9D"/>
    <w:rsid w:val="000F632D"/>
    <w:rsid w:val="00100DF4"/>
    <w:rsid w:val="001037F3"/>
    <w:rsid w:val="00104389"/>
    <w:rsid w:val="0010575C"/>
    <w:rsid w:val="00105B86"/>
    <w:rsid w:val="00107631"/>
    <w:rsid w:val="001100C2"/>
    <w:rsid w:val="001162A8"/>
    <w:rsid w:val="00117B0A"/>
    <w:rsid w:val="001258B5"/>
    <w:rsid w:val="00127DA3"/>
    <w:rsid w:val="00130A2F"/>
    <w:rsid w:val="00132B7A"/>
    <w:rsid w:val="00137BFA"/>
    <w:rsid w:val="00140CA2"/>
    <w:rsid w:val="0014257F"/>
    <w:rsid w:val="001427DB"/>
    <w:rsid w:val="00151F19"/>
    <w:rsid w:val="001532C7"/>
    <w:rsid w:val="001543D5"/>
    <w:rsid w:val="001552E6"/>
    <w:rsid w:val="00157553"/>
    <w:rsid w:val="0016031A"/>
    <w:rsid w:val="001628A5"/>
    <w:rsid w:val="00165A2D"/>
    <w:rsid w:val="00167D51"/>
    <w:rsid w:val="0017194F"/>
    <w:rsid w:val="00171C3E"/>
    <w:rsid w:val="00172C2A"/>
    <w:rsid w:val="00172CB0"/>
    <w:rsid w:val="0017342D"/>
    <w:rsid w:val="00175EBF"/>
    <w:rsid w:val="0018165F"/>
    <w:rsid w:val="00181B2F"/>
    <w:rsid w:val="00194541"/>
    <w:rsid w:val="00196F94"/>
    <w:rsid w:val="0019780D"/>
    <w:rsid w:val="001A0F38"/>
    <w:rsid w:val="001A1A05"/>
    <w:rsid w:val="001A5DAC"/>
    <w:rsid w:val="001A6994"/>
    <w:rsid w:val="001B0123"/>
    <w:rsid w:val="001B0802"/>
    <w:rsid w:val="001B3600"/>
    <w:rsid w:val="001B3C05"/>
    <w:rsid w:val="001C27B7"/>
    <w:rsid w:val="001C5387"/>
    <w:rsid w:val="001D024A"/>
    <w:rsid w:val="001D0E4D"/>
    <w:rsid w:val="001D1053"/>
    <w:rsid w:val="001D2128"/>
    <w:rsid w:val="001D45C2"/>
    <w:rsid w:val="001D520B"/>
    <w:rsid w:val="001E0536"/>
    <w:rsid w:val="001E09FD"/>
    <w:rsid w:val="001F385A"/>
    <w:rsid w:val="001F3A20"/>
    <w:rsid w:val="001F434A"/>
    <w:rsid w:val="001F4CC5"/>
    <w:rsid w:val="002031E1"/>
    <w:rsid w:val="002055A5"/>
    <w:rsid w:val="00206ABF"/>
    <w:rsid w:val="002129AB"/>
    <w:rsid w:val="00212BAF"/>
    <w:rsid w:val="002136CC"/>
    <w:rsid w:val="00214B77"/>
    <w:rsid w:val="002165B6"/>
    <w:rsid w:val="002272BD"/>
    <w:rsid w:val="002343F5"/>
    <w:rsid w:val="002354B3"/>
    <w:rsid w:val="0023555C"/>
    <w:rsid w:val="002356FA"/>
    <w:rsid w:val="00240D3C"/>
    <w:rsid w:val="0024366C"/>
    <w:rsid w:val="0024684F"/>
    <w:rsid w:val="00250AC8"/>
    <w:rsid w:val="00252D14"/>
    <w:rsid w:val="0025512D"/>
    <w:rsid w:val="00256769"/>
    <w:rsid w:val="00261A69"/>
    <w:rsid w:val="00262419"/>
    <w:rsid w:val="00263B92"/>
    <w:rsid w:val="002676F3"/>
    <w:rsid w:val="00275511"/>
    <w:rsid w:val="00277884"/>
    <w:rsid w:val="00280469"/>
    <w:rsid w:val="00282A7E"/>
    <w:rsid w:val="002845FB"/>
    <w:rsid w:val="00284CF4"/>
    <w:rsid w:val="00287682"/>
    <w:rsid w:val="00290244"/>
    <w:rsid w:val="00293556"/>
    <w:rsid w:val="00293CE6"/>
    <w:rsid w:val="00294E59"/>
    <w:rsid w:val="00295066"/>
    <w:rsid w:val="002952D0"/>
    <w:rsid w:val="002A190D"/>
    <w:rsid w:val="002A7B70"/>
    <w:rsid w:val="002B05E6"/>
    <w:rsid w:val="002B3032"/>
    <w:rsid w:val="002B31ED"/>
    <w:rsid w:val="002B3FE1"/>
    <w:rsid w:val="002B4FCA"/>
    <w:rsid w:val="002B6937"/>
    <w:rsid w:val="002B6A92"/>
    <w:rsid w:val="002B6EE2"/>
    <w:rsid w:val="002C2B55"/>
    <w:rsid w:val="002C4FA2"/>
    <w:rsid w:val="002C7008"/>
    <w:rsid w:val="002C7FDA"/>
    <w:rsid w:val="002D2639"/>
    <w:rsid w:val="002D2D97"/>
    <w:rsid w:val="002D3C37"/>
    <w:rsid w:val="002E098E"/>
    <w:rsid w:val="002E2C38"/>
    <w:rsid w:val="002E39A0"/>
    <w:rsid w:val="0030247B"/>
    <w:rsid w:val="00303121"/>
    <w:rsid w:val="00303698"/>
    <w:rsid w:val="00315CFF"/>
    <w:rsid w:val="00315D7C"/>
    <w:rsid w:val="00316F56"/>
    <w:rsid w:val="00323C65"/>
    <w:rsid w:val="00324F74"/>
    <w:rsid w:val="0032691A"/>
    <w:rsid w:val="003308B4"/>
    <w:rsid w:val="00331C3E"/>
    <w:rsid w:val="00332266"/>
    <w:rsid w:val="003324D9"/>
    <w:rsid w:val="003338B0"/>
    <w:rsid w:val="003362D7"/>
    <w:rsid w:val="003369BE"/>
    <w:rsid w:val="00337ACF"/>
    <w:rsid w:val="00346DD7"/>
    <w:rsid w:val="00353D2A"/>
    <w:rsid w:val="003552A6"/>
    <w:rsid w:val="0035661B"/>
    <w:rsid w:val="003571DF"/>
    <w:rsid w:val="003642F2"/>
    <w:rsid w:val="00364500"/>
    <w:rsid w:val="003650B8"/>
    <w:rsid w:val="00366B1E"/>
    <w:rsid w:val="00366D98"/>
    <w:rsid w:val="00367C28"/>
    <w:rsid w:val="00372B97"/>
    <w:rsid w:val="00372D36"/>
    <w:rsid w:val="00372D64"/>
    <w:rsid w:val="00373E8D"/>
    <w:rsid w:val="00373F4F"/>
    <w:rsid w:val="00375300"/>
    <w:rsid w:val="003766D5"/>
    <w:rsid w:val="00377503"/>
    <w:rsid w:val="00386933"/>
    <w:rsid w:val="00387AB7"/>
    <w:rsid w:val="00391662"/>
    <w:rsid w:val="00392EE8"/>
    <w:rsid w:val="00397442"/>
    <w:rsid w:val="003A79EC"/>
    <w:rsid w:val="003B32BC"/>
    <w:rsid w:val="003B5DB0"/>
    <w:rsid w:val="003B711F"/>
    <w:rsid w:val="003C0B41"/>
    <w:rsid w:val="003C183F"/>
    <w:rsid w:val="003C510E"/>
    <w:rsid w:val="003C547C"/>
    <w:rsid w:val="003C62D9"/>
    <w:rsid w:val="003C6435"/>
    <w:rsid w:val="003D168F"/>
    <w:rsid w:val="003D4306"/>
    <w:rsid w:val="003D7DFB"/>
    <w:rsid w:val="003E0572"/>
    <w:rsid w:val="003E0F02"/>
    <w:rsid w:val="003E2874"/>
    <w:rsid w:val="003E7EA1"/>
    <w:rsid w:val="003F2C57"/>
    <w:rsid w:val="003F3223"/>
    <w:rsid w:val="003F35A9"/>
    <w:rsid w:val="003F411F"/>
    <w:rsid w:val="003F55D3"/>
    <w:rsid w:val="003F571A"/>
    <w:rsid w:val="003F74EE"/>
    <w:rsid w:val="00400F19"/>
    <w:rsid w:val="00403061"/>
    <w:rsid w:val="00403D0B"/>
    <w:rsid w:val="00403D0C"/>
    <w:rsid w:val="00415E74"/>
    <w:rsid w:val="00422EA6"/>
    <w:rsid w:val="0042363E"/>
    <w:rsid w:val="00425450"/>
    <w:rsid w:val="0042580D"/>
    <w:rsid w:val="00426AE0"/>
    <w:rsid w:val="004321A8"/>
    <w:rsid w:val="00433197"/>
    <w:rsid w:val="004337B4"/>
    <w:rsid w:val="00435FCE"/>
    <w:rsid w:val="00437822"/>
    <w:rsid w:val="00437F27"/>
    <w:rsid w:val="00440651"/>
    <w:rsid w:val="00442FCB"/>
    <w:rsid w:val="0044481E"/>
    <w:rsid w:val="004457E7"/>
    <w:rsid w:val="00450BAA"/>
    <w:rsid w:val="00450C77"/>
    <w:rsid w:val="00454C01"/>
    <w:rsid w:val="00460748"/>
    <w:rsid w:val="004655ED"/>
    <w:rsid w:val="00467C99"/>
    <w:rsid w:val="00475843"/>
    <w:rsid w:val="00481F5F"/>
    <w:rsid w:val="00482399"/>
    <w:rsid w:val="00482DDD"/>
    <w:rsid w:val="004914B7"/>
    <w:rsid w:val="0049274D"/>
    <w:rsid w:val="004946FF"/>
    <w:rsid w:val="00496425"/>
    <w:rsid w:val="004A43BD"/>
    <w:rsid w:val="004A73F3"/>
    <w:rsid w:val="004A785C"/>
    <w:rsid w:val="004B1EC5"/>
    <w:rsid w:val="004B36FC"/>
    <w:rsid w:val="004B6958"/>
    <w:rsid w:val="004B70A9"/>
    <w:rsid w:val="004C1CD6"/>
    <w:rsid w:val="004C71E1"/>
    <w:rsid w:val="004D0499"/>
    <w:rsid w:val="004D2E83"/>
    <w:rsid w:val="004D3D54"/>
    <w:rsid w:val="004D44C0"/>
    <w:rsid w:val="004D7194"/>
    <w:rsid w:val="004E071F"/>
    <w:rsid w:val="004E1938"/>
    <w:rsid w:val="004E2A8E"/>
    <w:rsid w:val="004F17D0"/>
    <w:rsid w:val="004F2604"/>
    <w:rsid w:val="004F4823"/>
    <w:rsid w:val="004F4B91"/>
    <w:rsid w:val="0050345A"/>
    <w:rsid w:val="0051288E"/>
    <w:rsid w:val="00513EC7"/>
    <w:rsid w:val="005153AE"/>
    <w:rsid w:val="0052193B"/>
    <w:rsid w:val="00530334"/>
    <w:rsid w:val="00530D4D"/>
    <w:rsid w:val="0053299E"/>
    <w:rsid w:val="005412D3"/>
    <w:rsid w:val="005414E4"/>
    <w:rsid w:val="005431BE"/>
    <w:rsid w:val="00545B15"/>
    <w:rsid w:val="00550ACD"/>
    <w:rsid w:val="00550C06"/>
    <w:rsid w:val="00553F67"/>
    <w:rsid w:val="005544AD"/>
    <w:rsid w:val="0056018A"/>
    <w:rsid w:val="005613ED"/>
    <w:rsid w:val="005616FC"/>
    <w:rsid w:val="00561FA5"/>
    <w:rsid w:val="00565B34"/>
    <w:rsid w:val="00566A7B"/>
    <w:rsid w:val="00566C9C"/>
    <w:rsid w:val="00566E80"/>
    <w:rsid w:val="00571C6B"/>
    <w:rsid w:val="005749F1"/>
    <w:rsid w:val="00575345"/>
    <w:rsid w:val="00575FFF"/>
    <w:rsid w:val="00576A78"/>
    <w:rsid w:val="005774A1"/>
    <w:rsid w:val="00591336"/>
    <w:rsid w:val="00592D13"/>
    <w:rsid w:val="005A067E"/>
    <w:rsid w:val="005A2471"/>
    <w:rsid w:val="005A3081"/>
    <w:rsid w:val="005A37F6"/>
    <w:rsid w:val="005A51CC"/>
    <w:rsid w:val="005A5FFA"/>
    <w:rsid w:val="005A7393"/>
    <w:rsid w:val="005A7619"/>
    <w:rsid w:val="005A7A00"/>
    <w:rsid w:val="005B4781"/>
    <w:rsid w:val="005B4D4C"/>
    <w:rsid w:val="005B7535"/>
    <w:rsid w:val="005C0440"/>
    <w:rsid w:val="005C0E9F"/>
    <w:rsid w:val="005C7FFD"/>
    <w:rsid w:val="005D2F00"/>
    <w:rsid w:val="005D55D8"/>
    <w:rsid w:val="005D566D"/>
    <w:rsid w:val="005E107F"/>
    <w:rsid w:val="005E18E1"/>
    <w:rsid w:val="005E22C8"/>
    <w:rsid w:val="005E310E"/>
    <w:rsid w:val="005F0EEC"/>
    <w:rsid w:val="005F1958"/>
    <w:rsid w:val="0060121B"/>
    <w:rsid w:val="006021FB"/>
    <w:rsid w:val="006062B8"/>
    <w:rsid w:val="0060781E"/>
    <w:rsid w:val="00611135"/>
    <w:rsid w:val="00612C73"/>
    <w:rsid w:val="00612C7D"/>
    <w:rsid w:val="00613D13"/>
    <w:rsid w:val="00616733"/>
    <w:rsid w:val="00623847"/>
    <w:rsid w:val="00625756"/>
    <w:rsid w:val="0063013A"/>
    <w:rsid w:val="00631680"/>
    <w:rsid w:val="0063491B"/>
    <w:rsid w:val="006368C0"/>
    <w:rsid w:val="00640A90"/>
    <w:rsid w:val="00642CE8"/>
    <w:rsid w:val="00642DF8"/>
    <w:rsid w:val="006469EB"/>
    <w:rsid w:val="00647B61"/>
    <w:rsid w:val="00647D91"/>
    <w:rsid w:val="006507F6"/>
    <w:rsid w:val="006510A1"/>
    <w:rsid w:val="00657AB9"/>
    <w:rsid w:val="00661F85"/>
    <w:rsid w:val="00663A14"/>
    <w:rsid w:val="00664190"/>
    <w:rsid w:val="00665C8B"/>
    <w:rsid w:val="00671E94"/>
    <w:rsid w:val="0067263E"/>
    <w:rsid w:val="00677494"/>
    <w:rsid w:val="00680B8C"/>
    <w:rsid w:val="0068285F"/>
    <w:rsid w:val="00684C55"/>
    <w:rsid w:val="00686434"/>
    <w:rsid w:val="0069284C"/>
    <w:rsid w:val="00692EB5"/>
    <w:rsid w:val="006931E2"/>
    <w:rsid w:val="00693738"/>
    <w:rsid w:val="00695472"/>
    <w:rsid w:val="00695EE1"/>
    <w:rsid w:val="0069797C"/>
    <w:rsid w:val="006A254D"/>
    <w:rsid w:val="006B1247"/>
    <w:rsid w:val="006B3EA5"/>
    <w:rsid w:val="006B4427"/>
    <w:rsid w:val="006B456F"/>
    <w:rsid w:val="006B5B2D"/>
    <w:rsid w:val="006D3C4D"/>
    <w:rsid w:val="006E01D5"/>
    <w:rsid w:val="006E1744"/>
    <w:rsid w:val="006E1D12"/>
    <w:rsid w:val="006E3279"/>
    <w:rsid w:val="006E36A8"/>
    <w:rsid w:val="006E6692"/>
    <w:rsid w:val="006F2017"/>
    <w:rsid w:val="006F33C4"/>
    <w:rsid w:val="006F4144"/>
    <w:rsid w:val="006F43C9"/>
    <w:rsid w:val="006F79A8"/>
    <w:rsid w:val="00700345"/>
    <w:rsid w:val="00712257"/>
    <w:rsid w:val="00712A40"/>
    <w:rsid w:val="00713E28"/>
    <w:rsid w:val="00716301"/>
    <w:rsid w:val="00723003"/>
    <w:rsid w:val="00723080"/>
    <w:rsid w:val="00725A8A"/>
    <w:rsid w:val="007268E8"/>
    <w:rsid w:val="007349E9"/>
    <w:rsid w:val="007355C2"/>
    <w:rsid w:val="00736EC4"/>
    <w:rsid w:val="007408BD"/>
    <w:rsid w:val="007427A5"/>
    <w:rsid w:val="00742C2C"/>
    <w:rsid w:val="00750855"/>
    <w:rsid w:val="00751772"/>
    <w:rsid w:val="00751E0A"/>
    <w:rsid w:val="00752DFB"/>
    <w:rsid w:val="00752FF6"/>
    <w:rsid w:val="00756AC6"/>
    <w:rsid w:val="00756B5E"/>
    <w:rsid w:val="00764C0D"/>
    <w:rsid w:val="007725F2"/>
    <w:rsid w:val="007763E8"/>
    <w:rsid w:val="00781F8F"/>
    <w:rsid w:val="00782095"/>
    <w:rsid w:val="00784168"/>
    <w:rsid w:val="00785B94"/>
    <w:rsid w:val="0078736E"/>
    <w:rsid w:val="00791467"/>
    <w:rsid w:val="00793AED"/>
    <w:rsid w:val="00793F86"/>
    <w:rsid w:val="00796170"/>
    <w:rsid w:val="00796DCE"/>
    <w:rsid w:val="00796FF9"/>
    <w:rsid w:val="007A0F9F"/>
    <w:rsid w:val="007A2576"/>
    <w:rsid w:val="007A3049"/>
    <w:rsid w:val="007A3458"/>
    <w:rsid w:val="007A3894"/>
    <w:rsid w:val="007A3FDF"/>
    <w:rsid w:val="007B03AA"/>
    <w:rsid w:val="007B0A1F"/>
    <w:rsid w:val="007B1905"/>
    <w:rsid w:val="007B31A1"/>
    <w:rsid w:val="007B522A"/>
    <w:rsid w:val="007B6251"/>
    <w:rsid w:val="007C1294"/>
    <w:rsid w:val="007C5836"/>
    <w:rsid w:val="007C5AF3"/>
    <w:rsid w:val="007D10DB"/>
    <w:rsid w:val="007D307F"/>
    <w:rsid w:val="007D3949"/>
    <w:rsid w:val="007D6404"/>
    <w:rsid w:val="007D6DD1"/>
    <w:rsid w:val="007E2F93"/>
    <w:rsid w:val="007E39F1"/>
    <w:rsid w:val="007E3CF7"/>
    <w:rsid w:val="007E5289"/>
    <w:rsid w:val="007E67CD"/>
    <w:rsid w:val="007F0734"/>
    <w:rsid w:val="007F2DCD"/>
    <w:rsid w:val="007F36AF"/>
    <w:rsid w:val="007F430A"/>
    <w:rsid w:val="007F569F"/>
    <w:rsid w:val="007F7B74"/>
    <w:rsid w:val="00800350"/>
    <w:rsid w:val="00803D35"/>
    <w:rsid w:val="00803FC5"/>
    <w:rsid w:val="00804E78"/>
    <w:rsid w:val="00805181"/>
    <w:rsid w:val="0080542D"/>
    <w:rsid w:val="008072F1"/>
    <w:rsid w:val="00811650"/>
    <w:rsid w:val="00812701"/>
    <w:rsid w:val="00813B73"/>
    <w:rsid w:val="00814EB1"/>
    <w:rsid w:val="00815683"/>
    <w:rsid w:val="00816AAB"/>
    <w:rsid w:val="00822145"/>
    <w:rsid w:val="00823390"/>
    <w:rsid w:val="008245D7"/>
    <w:rsid w:val="0082617B"/>
    <w:rsid w:val="00830F5E"/>
    <w:rsid w:val="00835333"/>
    <w:rsid w:val="0083607D"/>
    <w:rsid w:val="0084051C"/>
    <w:rsid w:val="00843131"/>
    <w:rsid w:val="008451E8"/>
    <w:rsid w:val="008518FA"/>
    <w:rsid w:val="00851BD3"/>
    <w:rsid w:val="00853089"/>
    <w:rsid w:val="00855BA4"/>
    <w:rsid w:val="00856C34"/>
    <w:rsid w:val="00857554"/>
    <w:rsid w:val="00857A91"/>
    <w:rsid w:val="00864014"/>
    <w:rsid w:val="00865EE7"/>
    <w:rsid w:val="0086607C"/>
    <w:rsid w:val="00872B7C"/>
    <w:rsid w:val="00872DF3"/>
    <w:rsid w:val="008817FF"/>
    <w:rsid w:val="00883EE4"/>
    <w:rsid w:val="0088474E"/>
    <w:rsid w:val="00887F56"/>
    <w:rsid w:val="0089021C"/>
    <w:rsid w:val="00890502"/>
    <w:rsid w:val="00893C97"/>
    <w:rsid w:val="0089508E"/>
    <w:rsid w:val="00895A4E"/>
    <w:rsid w:val="00895C67"/>
    <w:rsid w:val="008960C2"/>
    <w:rsid w:val="00897DAD"/>
    <w:rsid w:val="008A5914"/>
    <w:rsid w:val="008A5CBE"/>
    <w:rsid w:val="008A6815"/>
    <w:rsid w:val="008B3A07"/>
    <w:rsid w:val="008B3EC3"/>
    <w:rsid w:val="008B4C05"/>
    <w:rsid w:val="008B5BD0"/>
    <w:rsid w:val="008B5F64"/>
    <w:rsid w:val="008B6386"/>
    <w:rsid w:val="008B7034"/>
    <w:rsid w:val="008C1863"/>
    <w:rsid w:val="008C1CF2"/>
    <w:rsid w:val="008C1E82"/>
    <w:rsid w:val="008C32F6"/>
    <w:rsid w:val="008C49C4"/>
    <w:rsid w:val="008C50FC"/>
    <w:rsid w:val="008C68AA"/>
    <w:rsid w:val="008C7800"/>
    <w:rsid w:val="008D0DE2"/>
    <w:rsid w:val="008D3D02"/>
    <w:rsid w:val="008D4650"/>
    <w:rsid w:val="008D5BE9"/>
    <w:rsid w:val="008D7497"/>
    <w:rsid w:val="008E0E41"/>
    <w:rsid w:val="008E6080"/>
    <w:rsid w:val="008E72EF"/>
    <w:rsid w:val="008F43AC"/>
    <w:rsid w:val="008F7962"/>
    <w:rsid w:val="008F7D3A"/>
    <w:rsid w:val="009062B4"/>
    <w:rsid w:val="00906396"/>
    <w:rsid w:val="00910375"/>
    <w:rsid w:val="0091412C"/>
    <w:rsid w:val="00914A43"/>
    <w:rsid w:val="0091669D"/>
    <w:rsid w:val="009173C9"/>
    <w:rsid w:val="009230B9"/>
    <w:rsid w:val="00924223"/>
    <w:rsid w:val="009318BB"/>
    <w:rsid w:val="00931DD3"/>
    <w:rsid w:val="00932038"/>
    <w:rsid w:val="00936CA5"/>
    <w:rsid w:val="009435D0"/>
    <w:rsid w:val="00945EEA"/>
    <w:rsid w:val="00947AE0"/>
    <w:rsid w:val="009533E1"/>
    <w:rsid w:val="00955EB3"/>
    <w:rsid w:val="00956316"/>
    <w:rsid w:val="0095750D"/>
    <w:rsid w:val="00961AC5"/>
    <w:rsid w:val="00962611"/>
    <w:rsid w:val="00962A91"/>
    <w:rsid w:val="00965ECA"/>
    <w:rsid w:val="009671C5"/>
    <w:rsid w:val="00970944"/>
    <w:rsid w:val="00973CE5"/>
    <w:rsid w:val="009750DC"/>
    <w:rsid w:val="00975C75"/>
    <w:rsid w:val="00975EB7"/>
    <w:rsid w:val="009761BC"/>
    <w:rsid w:val="00985AF8"/>
    <w:rsid w:val="009911BD"/>
    <w:rsid w:val="0099198A"/>
    <w:rsid w:val="009941E7"/>
    <w:rsid w:val="00995853"/>
    <w:rsid w:val="009975BC"/>
    <w:rsid w:val="00997AB3"/>
    <w:rsid w:val="009B139B"/>
    <w:rsid w:val="009B7A01"/>
    <w:rsid w:val="009B7AFE"/>
    <w:rsid w:val="009C5A19"/>
    <w:rsid w:val="009C6D78"/>
    <w:rsid w:val="009D0ECC"/>
    <w:rsid w:val="009D1490"/>
    <w:rsid w:val="009D15C9"/>
    <w:rsid w:val="009D407C"/>
    <w:rsid w:val="009D50C9"/>
    <w:rsid w:val="009D60B9"/>
    <w:rsid w:val="009E19E3"/>
    <w:rsid w:val="009E1ABB"/>
    <w:rsid w:val="009E1F03"/>
    <w:rsid w:val="009E40E3"/>
    <w:rsid w:val="009E78AD"/>
    <w:rsid w:val="009F2DE9"/>
    <w:rsid w:val="009F2FAE"/>
    <w:rsid w:val="009F625B"/>
    <w:rsid w:val="00A049A6"/>
    <w:rsid w:val="00A077CA"/>
    <w:rsid w:val="00A13104"/>
    <w:rsid w:val="00A13721"/>
    <w:rsid w:val="00A144D9"/>
    <w:rsid w:val="00A14D0B"/>
    <w:rsid w:val="00A17313"/>
    <w:rsid w:val="00A207C3"/>
    <w:rsid w:val="00A21D41"/>
    <w:rsid w:val="00A21E05"/>
    <w:rsid w:val="00A27500"/>
    <w:rsid w:val="00A27F29"/>
    <w:rsid w:val="00A326D2"/>
    <w:rsid w:val="00A32D7B"/>
    <w:rsid w:val="00A37447"/>
    <w:rsid w:val="00A40CD0"/>
    <w:rsid w:val="00A420BD"/>
    <w:rsid w:val="00A428AA"/>
    <w:rsid w:val="00A44914"/>
    <w:rsid w:val="00A46D7C"/>
    <w:rsid w:val="00A52D1E"/>
    <w:rsid w:val="00A53345"/>
    <w:rsid w:val="00A549C3"/>
    <w:rsid w:val="00A54EE7"/>
    <w:rsid w:val="00A569C3"/>
    <w:rsid w:val="00A56D65"/>
    <w:rsid w:val="00A573CC"/>
    <w:rsid w:val="00A635C1"/>
    <w:rsid w:val="00A657C0"/>
    <w:rsid w:val="00A67059"/>
    <w:rsid w:val="00A72B3E"/>
    <w:rsid w:val="00A72D62"/>
    <w:rsid w:val="00A731CB"/>
    <w:rsid w:val="00A752BA"/>
    <w:rsid w:val="00A75791"/>
    <w:rsid w:val="00A76E84"/>
    <w:rsid w:val="00A80087"/>
    <w:rsid w:val="00A81BA5"/>
    <w:rsid w:val="00A8305F"/>
    <w:rsid w:val="00A92B30"/>
    <w:rsid w:val="00AA5CF4"/>
    <w:rsid w:val="00AA66A5"/>
    <w:rsid w:val="00AA6E87"/>
    <w:rsid w:val="00AB24F5"/>
    <w:rsid w:val="00AB6090"/>
    <w:rsid w:val="00AC0872"/>
    <w:rsid w:val="00AC2963"/>
    <w:rsid w:val="00AC49AB"/>
    <w:rsid w:val="00AC49DD"/>
    <w:rsid w:val="00AD118E"/>
    <w:rsid w:val="00AD136B"/>
    <w:rsid w:val="00AD327C"/>
    <w:rsid w:val="00AD4905"/>
    <w:rsid w:val="00AD533F"/>
    <w:rsid w:val="00AD60B0"/>
    <w:rsid w:val="00AD6BC2"/>
    <w:rsid w:val="00AE0716"/>
    <w:rsid w:val="00AE36CD"/>
    <w:rsid w:val="00AE569F"/>
    <w:rsid w:val="00AE64B9"/>
    <w:rsid w:val="00AF100C"/>
    <w:rsid w:val="00AF16A7"/>
    <w:rsid w:val="00AF29D4"/>
    <w:rsid w:val="00AF3843"/>
    <w:rsid w:val="00AF7ACE"/>
    <w:rsid w:val="00B01460"/>
    <w:rsid w:val="00B0396F"/>
    <w:rsid w:val="00B04B82"/>
    <w:rsid w:val="00B12687"/>
    <w:rsid w:val="00B2167A"/>
    <w:rsid w:val="00B22707"/>
    <w:rsid w:val="00B248A7"/>
    <w:rsid w:val="00B304D3"/>
    <w:rsid w:val="00B314A7"/>
    <w:rsid w:val="00B34611"/>
    <w:rsid w:val="00B36B70"/>
    <w:rsid w:val="00B44196"/>
    <w:rsid w:val="00B465BA"/>
    <w:rsid w:val="00B607BC"/>
    <w:rsid w:val="00B61EE2"/>
    <w:rsid w:val="00B64ACC"/>
    <w:rsid w:val="00B66343"/>
    <w:rsid w:val="00B72AF8"/>
    <w:rsid w:val="00B7306B"/>
    <w:rsid w:val="00B75468"/>
    <w:rsid w:val="00B76118"/>
    <w:rsid w:val="00B80512"/>
    <w:rsid w:val="00B81C29"/>
    <w:rsid w:val="00B90D5B"/>
    <w:rsid w:val="00B93014"/>
    <w:rsid w:val="00B94512"/>
    <w:rsid w:val="00B95E7E"/>
    <w:rsid w:val="00B97394"/>
    <w:rsid w:val="00BA0D2F"/>
    <w:rsid w:val="00BA264E"/>
    <w:rsid w:val="00BB1263"/>
    <w:rsid w:val="00BB20D0"/>
    <w:rsid w:val="00BB47BC"/>
    <w:rsid w:val="00BB5046"/>
    <w:rsid w:val="00BB728C"/>
    <w:rsid w:val="00BC101C"/>
    <w:rsid w:val="00BC156A"/>
    <w:rsid w:val="00BC7E19"/>
    <w:rsid w:val="00BD0D8C"/>
    <w:rsid w:val="00BD1404"/>
    <w:rsid w:val="00BD4274"/>
    <w:rsid w:val="00BD536A"/>
    <w:rsid w:val="00BD6FED"/>
    <w:rsid w:val="00BE0B9A"/>
    <w:rsid w:val="00BE21FC"/>
    <w:rsid w:val="00BF0367"/>
    <w:rsid w:val="00BF0EAA"/>
    <w:rsid w:val="00BF4DD2"/>
    <w:rsid w:val="00BF5592"/>
    <w:rsid w:val="00BF721C"/>
    <w:rsid w:val="00C05EE4"/>
    <w:rsid w:val="00C0761E"/>
    <w:rsid w:val="00C0772C"/>
    <w:rsid w:val="00C138A0"/>
    <w:rsid w:val="00C14C8E"/>
    <w:rsid w:val="00C14EB2"/>
    <w:rsid w:val="00C15046"/>
    <w:rsid w:val="00C209E9"/>
    <w:rsid w:val="00C2159C"/>
    <w:rsid w:val="00C313DF"/>
    <w:rsid w:val="00C330CE"/>
    <w:rsid w:val="00C35CDA"/>
    <w:rsid w:val="00C373DE"/>
    <w:rsid w:val="00C376C5"/>
    <w:rsid w:val="00C379DE"/>
    <w:rsid w:val="00C37E43"/>
    <w:rsid w:val="00C43D4B"/>
    <w:rsid w:val="00C4500B"/>
    <w:rsid w:val="00C511A9"/>
    <w:rsid w:val="00C54556"/>
    <w:rsid w:val="00C6091F"/>
    <w:rsid w:val="00C63A1B"/>
    <w:rsid w:val="00C67B63"/>
    <w:rsid w:val="00C708D6"/>
    <w:rsid w:val="00C734DD"/>
    <w:rsid w:val="00C76780"/>
    <w:rsid w:val="00C820C9"/>
    <w:rsid w:val="00C83BE3"/>
    <w:rsid w:val="00C86CBA"/>
    <w:rsid w:val="00C87C5D"/>
    <w:rsid w:val="00C90955"/>
    <w:rsid w:val="00C94CC9"/>
    <w:rsid w:val="00C969B2"/>
    <w:rsid w:val="00C97675"/>
    <w:rsid w:val="00CA0090"/>
    <w:rsid w:val="00CA1CE8"/>
    <w:rsid w:val="00CA4079"/>
    <w:rsid w:val="00CA4350"/>
    <w:rsid w:val="00CA5836"/>
    <w:rsid w:val="00CB0722"/>
    <w:rsid w:val="00CB0748"/>
    <w:rsid w:val="00CB0AD3"/>
    <w:rsid w:val="00CB13DD"/>
    <w:rsid w:val="00CB6896"/>
    <w:rsid w:val="00CC0F5C"/>
    <w:rsid w:val="00CC43F5"/>
    <w:rsid w:val="00CC5BC8"/>
    <w:rsid w:val="00CC5C72"/>
    <w:rsid w:val="00CC66FF"/>
    <w:rsid w:val="00CC6E4D"/>
    <w:rsid w:val="00CD2081"/>
    <w:rsid w:val="00CD3C55"/>
    <w:rsid w:val="00CD437C"/>
    <w:rsid w:val="00CE0179"/>
    <w:rsid w:val="00CE372B"/>
    <w:rsid w:val="00CE400B"/>
    <w:rsid w:val="00CE4A41"/>
    <w:rsid w:val="00CE5AFD"/>
    <w:rsid w:val="00CE67BE"/>
    <w:rsid w:val="00CE68E2"/>
    <w:rsid w:val="00CF0BBE"/>
    <w:rsid w:val="00CF392C"/>
    <w:rsid w:val="00CF65FA"/>
    <w:rsid w:val="00CF75CF"/>
    <w:rsid w:val="00D019F4"/>
    <w:rsid w:val="00D01CD1"/>
    <w:rsid w:val="00D02F88"/>
    <w:rsid w:val="00D03BB3"/>
    <w:rsid w:val="00D06765"/>
    <w:rsid w:val="00D117E9"/>
    <w:rsid w:val="00D13932"/>
    <w:rsid w:val="00D13AF3"/>
    <w:rsid w:val="00D202CB"/>
    <w:rsid w:val="00D242B8"/>
    <w:rsid w:val="00D31A7E"/>
    <w:rsid w:val="00D32DDA"/>
    <w:rsid w:val="00D363D9"/>
    <w:rsid w:val="00D41A07"/>
    <w:rsid w:val="00D44517"/>
    <w:rsid w:val="00D47981"/>
    <w:rsid w:val="00D50661"/>
    <w:rsid w:val="00D50ACD"/>
    <w:rsid w:val="00D54614"/>
    <w:rsid w:val="00D63BDE"/>
    <w:rsid w:val="00D63DB5"/>
    <w:rsid w:val="00D653DD"/>
    <w:rsid w:val="00D663B1"/>
    <w:rsid w:val="00D70C08"/>
    <w:rsid w:val="00D7596B"/>
    <w:rsid w:val="00D75C8F"/>
    <w:rsid w:val="00D810C3"/>
    <w:rsid w:val="00D86675"/>
    <w:rsid w:val="00D87C80"/>
    <w:rsid w:val="00D87F98"/>
    <w:rsid w:val="00D91CD7"/>
    <w:rsid w:val="00D94809"/>
    <w:rsid w:val="00D94E7F"/>
    <w:rsid w:val="00D95161"/>
    <w:rsid w:val="00DB0D93"/>
    <w:rsid w:val="00DB277F"/>
    <w:rsid w:val="00DB488B"/>
    <w:rsid w:val="00DB5483"/>
    <w:rsid w:val="00DB6B35"/>
    <w:rsid w:val="00DB7B99"/>
    <w:rsid w:val="00DC0ED6"/>
    <w:rsid w:val="00DC1128"/>
    <w:rsid w:val="00DD1165"/>
    <w:rsid w:val="00DD1C6B"/>
    <w:rsid w:val="00DD2CA1"/>
    <w:rsid w:val="00DD38E3"/>
    <w:rsid w:val="00DD4ABF"/>
    <w:rsid w:val="00DD6510"/>
    <w:rsid w:val="00DE31AF"/>
    <w:rsid w:val="00DE6119"/>
    <w:rsid w:val="00DF2053"/>
    <w:rsid w:val="00DF3837"/>
    <w:rsid w:val="00E017B8"/>
    <w:rsid w:val="00E019EA"/>
    <w:rsid w:val="00E0399E"/>
    <w:rsid w:val="00E13CF9"/>
    <w:rsid w:val="00E14500"/>
    <w:rsid w:val="00E14A43"/>
    <w:rsid w:val="00E17F60"/>
    <w:rsid w:val="00E21700"/>
    <w:rsid w:val="00E235BE"/>
    <w:rsid w:val="00E25333"/>
    <w:rsid w:val="00E25B63"/>
    <w:rsid w:val="00E27CC0"/>
    <w:rsid w:val="00E3299C"/>
    <w:rsid w:val="00E33C8D"/>
    <w:rsid w:val="00E35FB3"/>
    <w:rsid w:val="00E431CC"/>
    <w:rsid w:val="00E54AE3"/>
    <w:rsid w:val="00E60047"/>
    <w:rsid w:val="00E70A61"/>
    <w:rsid w:val="00E70BC3"/>
    <w:rsid w:val="00E74978"/>
    <w:rsid w:val="00E75559"/>
    <w:rsid w:val="00E76BE8"/>
    <w:rsid w:val="00E7702D"/>
    <w:rsid w:val="00E81A96"/>
    <w:rsid w:val="00E826C1"/>
    <w:rsid w:val="00E829D2"/>
    <w:rsid w:val="00E84DA0"/>
    <w:rsid w:val="00E90FDF"/>
    <w:rsid w:val="00E9706B"/>
    <w:rsid w:val="00EA3AE5"/>
    <w:rsid w:val="00EA6561"/>
    <w:rsid w:val="00EA6E01"/>
    <w:rsid w:val="00EA7A37"/>
    <w:rsid w:val="00EB37CE"/>
    <w:rsid w:val="00EB54C4"/>
    <w:rsid w:val="00EB550B"/>
    <w:rsid w:val="00EC0F03"/>
    <w:rsid w:val="00EC131C"/>
    <w:rsid w:val="00EC1CD8"/>
    <w:rsid w:val="00EC4627"/>
    <w:rsid w:val="00EC75B0"/>
    <w:rsid w:val="00ED1118"/>
    <w:rsid w:val="00ED54C4"/>
    <w:rsid w:val="00ED57E9"/>
    <w:rsid w:val="00ED71F4"/>
    <w:rsid w:val="00EE5895"/>
    <w:rsid w:val="00EE5F73"/>
    <w:rsid w:val="00EF0236"/>
    <w:rsid w:val="00EF0BD1"/>
    <w:rsid w:val="00EF0D9F"/>
    <w:rsid w:val="00EF21DD"/>
    <w:rsid w:val="00EF23F3"/>
    <w:rsid w:val="00F03C0C"/>
    <w:rsid w:val="00F06CE1"/>
    <w:rsid w:val="00F13C06"/>
    <w:rsid w:val="00F16344"/>
    <w:rsid w:val="00F16B8F"/>
    <w:rsid w:val="00F177BC"/>
    <w:rsid w:val="00F178BE"/>
    <w:rsid w:val="00F17C88"/>
    <w:rsid w:val="00F202F8"/>
    <w:rsid w:val="00F23BD8"/>
    <w:rsid w:val="00F30F80"/>
    <w:rsid w:val="00F34CE1"/>
    <w:rsid w:val="00F40E0E"/>
    <w:rsid w:val="00F41E73"/>
    <w:rsid w:val="00F44D85"/>
    <w:rsid w:val="00F45B66"/>
    <w:rsid w:val="00F47493"/>
    <w:rsid w:val="00F51DA1"/>
    <w:rsid w:val="00F60DA1"/>
    <w:rsid w:val="00F618F3"/>
    <w:rsid w:val="00F61A5B"/>
    <w:rsid w:val="00F636B5"/>
    <w:rsid w:val="00F667DF"/>
    <w:rsid w:val="00F7171E"/>
    <w:rsid w:val="00F730D5"/>
    <w:rsid w:val="00F74378"/>
    <w:rsid w:val="00F7685D"/>
    <w:rsid w:val="00F77441"/>
    <w:rsid w:val="00F776FB"/>
    <w:rsid w:val="00F77979"/>
    <w:rsid w:val="00F81A69"/>
    <w:rsid w:val="00F93C68"/>
    <w:rsid w:val="00FA00A7"/>
    <w:rsid w:val="00FA1AC9"/>
    <w:rsid w:val="00FB0045"/>
    <w:rsid w:val="00FB1E8E"/>
    <w:rsid w:val="00FB6D1B"/>
    <w:rsid w:val="00FC5EBB"/>
    <w:rsid w:val="00FC670E"/>
    <w:rsid w:val="00FC6E90"/>
    <w:rsid w:val="00FC7048"/>
    <w:rsid w:val="00FD0C40"/>
    <w:rsid w:val="00FD1755"/>
    <w:rsid w:val="00FD35E7"/>
    <w:rsid w:val="00FD41A6"/>
    <w:rsid w:val="00FE3CF0"/>
    <w:rsid w:val="00FF24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3790CA83-CDAA-47B2-9056-F67566E6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paragraph" w:styleId="NormalWeb">
    <w:name w:val="Normal (Web)"/>
    <w:basedOn w:val="Normal"/>
    <w:uiPriority w:val="99"/>
    <w:unhideWhenUsed/>
    <w:rsid w:val="007F0734"/>
    <w:pPr>
      <w:widowControl/>
      <w:suppressAutoHyphens w:val="0"/>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7F0734"/>
    <w:rPr>
      <w:b/>
      <w:bCs/>
    </w:rPr>
  </w:style>
  <w:style w:type="character" w:styleId="CommentReference">
    <w:name w:val="annotation reference"/>
    <w:basedOn w:val="DefaultParagraphFont"/>
    <w:uiPriority w:val="99"/>
    <w:semiHidden/>
    <w:unhideWhenUsed/>
    <w:rsid w:val="00642CE8"/>
    <w:rPr>
      <w:sz w:val="16"/>
      <w:szCs w:val="16"/>
    </w:rPr>
  </w:style>
  <w:style w:type="paragraph" w:styleId="CommentText">
    <w:name w:val="annotation text"/>
    <w:basedOn w:val="Normal"/>
    <w:link w:val="CommentTextChar"/>
    <w:uiPriority w:val="99"/>
    <w:unhideWhenUsed/>
    <w:rsid w:val="00642CE8"/>
    <w:pPr>
      <w:widowControl/>
      <w:suppressAutoHyphens w:val="0"/>
      <w:spacing w:after="148"/>
      <w:ind w:left="10" w:right="5" w:hanging="10"/>
      <w:jc w:val="both"/>
    </w:pPr>
    <w:rPr>
      <w:rFonts w:eastAsia="Times New Roman"/>
      <w:kern w:val="2"/>
      <w:sz w:val="20"/>
      <w14:ligatures w14:val="standardContextual"/>
    </w:rPr>
  </w:style>
  <w:style w:type="character" w:customStyle="1" w:styleId="CommentTextChar">
    <w:name w:val="Comment Text Char"/>
    <w:basedOn w:val="DefaultParagraphFont"/>
    <w:link w:val="CommentText"/>
    <w:uiPriority w:val="99"/>
    <w:rsid w:val="00642CE8"/>
    <w:rPr>
      <w:rFonts w:ascii="Times New Roman" w:eastAsia="Times New Roman" w:hAnsi="Times New Roman" w:cs="Times New Roman"/>
      <w:color w:val="000000"/>
      <w:kern w:val="2"/>
      <w:sz w:val="20"/>
      <w:szCs w:val="20"/>
      <w:lang w:eastAsia="et-EE"/>
      <w14:ligatures w14:val="standardContextual"/>
    </w:rPr>
  </w:style>
  <w:style w:type="paragraph" w:styleId="CommentSubject">
    <w:name w:val="annotation subject"/>
    <w:basedOn w:val="CommentText"/>
    <w:next w:val="CommentText"/>
    <w:link w:val="CommentSubjectChar"/>
    <w:uiPriority w:val="99"/>
    <w:semiHidden/>
    <w:unhideWhenUsed/>
    <w:rsid w:val="00EC4627"/>
    <w:pPr>
      <w:widowControl w:val="0"/>
      <w:suppressAutoHyphens/>
      <w:spacing w:after="0"/>
      <w:ind w:left="0" w:right="0" w:firstLine="0"/>
      <w:jc w:val="left"/>
    </w:pPr>
    <w:rPr>
      <w:rFonts w:eastAsia="HG Mincho Light J"/>
      <w:b/>
      <w:bCs/>
      <w:kern w:val="0"/>
      <w14:ligatures w14:val="none"/>
    </w:rPr>
  </w:style>
  <w:style w:type="character" w:customStyle="1" w:styleId="CommentSubjectChar">
    <w:name w:val="Comment Subject Char"/>
    <w:basedOn w:val="CommentTextChar"/>
    <w:link w:val="CommentSubject"/>
    <w:uiPriority w:val="99"/>
    <w:semiHidden/>
    <w:rsid w:val="00EC4627"/>
    <w:rPr>
      <w:rFonts w:ascii="Times New Roman" w:eastAsia="HG Mincho Light J" w:hAnsi="Times New Roman" w:cs="Times New Roman"/>
      <w:b/>
      <w:bCs/>
      <w:color w:val="000000"/>
      <w:kern w:val="2"/>
      <w:sz w:val="20"/>
      <w:szCs w:val="20"/>
      <w:lang w:eastAsia="et-E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dr.rik.ee/riigikohus/dokument/18345754" TargetMode="External"/><Relationship Id="rId1" Type="http://schemas.openxmlformats.org/officeDocument/2006/relationships/hyperlink" Target="https://adr.rik.ee/riigikohus/dokument/181522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4</Pages>
  <Words>1662</Words>
  <Characters>9645</Characters>
  <Application>Microsoft Office Word</Application>
  <DocSecurity>0</DocSecurity>
  <Lines>80</Lines>
  <Paragraphs>22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Ettevõte</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 Žurba</dc:creator>
  <cp:lastModifiedBy>Merit Aavekukk-Tamm</cp:lastModifiedBy>
  <cp:revision>514</cp:revision>
  <cp:lastPrinted>2024-09-26T08:29:00Z</cp:lastPrinted>
  <dcterms:created xsi:type="dcterms:W3CDTF">2026-01-21T14:45:00Z</dcterms:created>
  <dcterms:modified xsi:type="dcterms:W3CDTF">2026-02-02T12:47:00Z</dcterms:modified>
</cp:coreProperties>
</file>